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3.xml.rels" ContentType="application/vnd.openxmlformats-package.relationships+xml"/>
  <Override PartName="/word/_rels/footer2.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header2.xml" ContentType="application/vnd.openxmlformats-officedocument.wordprocessingml.header+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3.xml" ContentType="application/vnd.openxmlformats-officedocument.wordprocessingml.header+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76"/>
        <w:ind w:left="0" w:right="0" w:hanging="0"/>
        <w:jc w:val="center"/>
        <w:rPr/>
      </w:pPr>
      <w:r>
        <w:rPr>
          <w:b/>
          <w:bCs/>
        </w:rPr>
        <w:t>PROJETO DE LEI Nº 110, de 31 de agosto de 2026</w:t>
      </w:r>
    </w:p>
    <w:p>
      <w:pPr>
        <w:pStyle w:val="Normal"/>
        <w:bidi w:val="0"/>
        <w:spacing w:lineRule="auto" w:line="276"/>
        <w:ind w:left="5102" w:right="0" w:firstLine="1417"/>
        <w:jc w:val="both"/>
        <w:rPr/>
      </w:pPr>
      <w:r>
        <w:rPr/>
        <w:br/>
        <w:t>Dispõe sobre as Diretrizes para a Elaboração e Execução da Lei Orçamentária do Município de Novo Hamburgo para o exercício financeiro de 2027 e dá outras providências.</w:t>
      </w:r>
    </w:p>
    <w:p>
      <w:pPr>
        <w:pStyle w:val="Normal"/>
        <w:bidi w:val="0"/>
        <w:spacing w:lineRule="auto" w:line="276"/>
        <w:ind w:left="0" w:right="0" w:firstLine="1417"/>
        <w:jc w:val="both"/>
        <w:rPr/>
      </w:pPr>
      <w:r>
        <w:rPr>
          <w:color w:val="000000"/>
        </w:rPr>
        <w:t xml:space="preserve">O </w:t>
      </w:r>
      <w:r>
        <w:rPr>
          <w:b/>
          <w:bCs/>
          <w:color w:val="000000"/>
        </w:rPr>
        <w:t>PREFEITO DO MUNICÍPIO DE NOVO HAMBURGO</w:t>
      </w:r>
      <w:r>
        <w:rPr>
          <w:color w:val="000000"/>
        </w:rPr>
        <w:t>, no uso de suas atribuições constitucionais e legais, observando os princípios e as normas da Constituição Federal de 1988 e a Lei Orgânica do Município, faço saber que o Poder Legislativo Municipal aprovou e eu sanciono e promulgo a seguinte Lei:</w:t>
      </w:r>
    </w:p>
    <w:p>
      <w:pPr>
        <w:pStyle w:val="Normal"/>
        <w:bidi w:val="0"/>
        <w:spacing w:lineRule="auto" w:line="276"/>
        <w:ind w:left="0" w:right="0" w:firstLine="1417"/>
        <w:jc w:val="center"/>
        <w:rPr/>
      </w:pPr>
      <w:r>
        <w:rPr/>
        <w:br/>
      </w:r>
      <w:r>
        <w:rPr>
          <w:b/>
          <w:bCs/>
        </w:rPr>
        <w:t>CAPÍTULO I</w:t>
      </w:r>
      <w:r>
        <w:rPr/>
        <w:br/>
      </w:r>
      <w:r>
        <w:rPr>
          <w:b/>
          <w:bCs/>
        </w:rPr>
        <w:t>DAS DISPOSIÇÕES PRELIMINARES</w:t>
      </w:r>
    </w:p>
    <w:p>
      <w:pPr>
        <w:pStyle w:val="Normal"/>
        <w:bidi w:val="0"/>
        <w:spacing w:lineRule="auto" w:line="276"/>
        <w:ind w:left="0" w:right="0" w:firstLine="1417"/>
        <w:jc w:val="both"/>
        <w:rPr/>
      </w:pPr>
      <w:r>
        <w:rPr>
          <w:b/>
          <w:bCs/>
        </w:rPr>
        <w:t>Art. 1º.</w:t>
      </w:r>
      <w:r>
        <w:rPr/>
        <w:t xml:space="preserve"> Ficam estabelecidas, em cumprimento ao disposto no artigo 165, § 2º, da Constituição Federal, da Lei Complementar Federal nº 101, de 4 de maio de 2000, e do artigo 93, § 2º, da Lei Orgânica Municipal para elaboração dos orçamentos da Administração Pública Municipal Direta, Indireta e do Poder Legislativo, relativos ao exercício de 2027, as diretrizes de que trata esta Lei e as metas prioritárias constantes do Anexo I, as quais terão precedência na alocação dos recursos no Projeto e na Lei Orçamentária Anual - LOA, para o exercício de 2027, e na sua execução, não se constituindo, todavia, em limite à programação da despesa.</w:t>
      </w:r>
    </w:p>
    <w:p>
      <w:pPr>
        <w:pStyle w:val="Normal"/>
        <w:bidi w:val="0"/>
        <w:spacing w:lineRule="auto" w:line="276"/>
        <w:ind w:left="0" w:right="0" w:firstLine="1417"/>
        <w:jc w:val="both"/>
        <w:rPr/>
      </w:pPr>
      <w:r>
        <w:rPr/>
        <w:t>Parágrafo único. Fazem parte integrante desta Lei os seguintes anexos, em cumprimento ao disposto na Lei Complementar nº 101, de 2000:</w:t>
      </w:r>
    </w:p>
    <w:p>
      <w:pPr>
        <w:pStyle w:val="Normal"/>
        <w:bidi w:val="0"/>
        <w:spacing w:lineRule="auto" w:line="276"/>
        <w:ind w:left="0" w:right="0" w:firstLine="1417"/>
        <w:jc w:val="both"/>
        <w:rPr/>
      </w:pPr>
      <w:r>
        <w:rPr/>
        <w:t>I - Anexo I, de Metas Prioritárias, composto de:</w:t>
      </w:r>
    </w:p>
    <w:p>
      <w:pPr>
        <w:pStyle w:val="Normal"/>
        <w:bidi w:val="0"/>
        <w:spacing w:lineRule="auto" w:line="276"/>
        <w:ind w:left="0" w:right="0" w:firstLine="1417"/>
        <w:jc w:val="both"/>
        <w:rPr/>
      </w:pPr>
      <w:r>
        <w:rPr/>
        <w:t>a) Anexo dos Programas Temáticos e Programas de Gestão e Manutenção;</w:t>
      </w:r>
    </w:p>
    <w:p>
      <w:pPr>
        <w:pStyle w:val="Normal"/>
        <w:bidi w:val="0"/>
        <w:spacing w:lineRule="auto" w:line="276"/>
        <w:ind w:left="0" w:right="0" w:firstLine="1417"/>
        <w:jc w:val="both"/>
        <w:rPr/>
      </w:pPr>
      <w:r>
        <w:rPr/>
        <w:t>b) Anexo da Estrutura Programática.</w:t>
      </w:r>
    </w:p>
    <w:p>
      <w:pPr>
        <w:pStyle w:val="Normal"/>
        <w:bidi w:val="0"/>
        <w:spacing w:lineRule="auto" w:line="276"/>
        <w:ind w:left="0" w:right="0" w:firstLine="1417"/>
        <w:jc w:val="both"/>
        <w:rPr/>
      </w:pPr>
      <w:r>
        <w:rPr/>
        <w:t>II - Anexo II, de Metas Fiscais, conforme previsto no § 1º e § 2º, do artigo 4º, da Lei Complementar nº 101, de 4 de maio de 2000, compreendendo:</w:t>
      </w:r>
    </w:p>
    <w:p>
      <w:pPr>
        <w:pStyle w:val="Normal"/>
        <w:bidi w:val="0"/>
        <w:spacing w:lineRule="auto" w:line="276"/>
        <w:ind w:left="0" w:right="0" w:firstLine="1417"/>
        <w:jc w:val="both"/>
        <w:rPr/>
      </w:pPr>
      <w:r>
        <w:rPr/>
        <w:t>a) Demonstrativo 1 - Metas Anuais;</w:t>
      </w:r>
    </w:p>
    <w:p>
      <w:pPr>
        <w:pStyle w:val="Normal"/>
        <w:bidi w:val="0"/>
        <w:spacing w:lineRule="auto" w:line="276"/>
        <w:ind w:left="0" w:right="0" w:firstLine="1417"/>
        <w:jc w:val="both"/>
        <w:rPr/>
      </w:pPr>
      <w:r>
        <w:rPr/>
        <w:t>b) Demonstrativo 2 - Avaliação do Cumprimento das Metas Fiscais do Exercício Anterior;</w:t>
      </w:r>
    </w:p>
    <w:p>
      <w:pPr>
        <w:pStyle w:val="Normal"/>
        <w:bidi w:val="0"/>
        <w:spacing w:lineRule="auto" w:line="276"/>
        <w:ind w:left="0" w:right="0" w:firstLine="1417"/>
        <w:jc w:val="both"/>
        <w:rPr/>
      </w:pPr>
      <w:r>
        <w:rPr/>
        <w:t>c) Demonstrativo 3 - Metas Fiscais Atuais comparadas com as Metas Fiscais fixadas nos Três Exercícios Anteriores;</w:t>
      </w:r>
    </w:p>
    <w:p>
      <w:pPr>
        <w:pStyle w:val="Normal"/>
        <w:bidi w:val="0"/>
        <w:spacing w:lineRule="auto" w:line="276"/>
        <w:ind w:left="0" w:right="0" w:firstLine="1417"/>
        <w:jc w:val="both"/>
        <w:rPr/>
      </w:pPr>
      <w:r>
        <w:rPr/>
        <w:t>d) Demonstrativo 4 - Evolução do Patrimônio Líquido;</w:t>
      </w:r>
    </w:p>
    <w:p>
      <w:pPr>
        <w:pStyle w:val="Normal"/>
        <w:bidi w:val="0"/>
        <w:spacing w:lineRule="auto" w:line="276"/>
        <w:ind w:left="0" w:right="0" w:firstLine="1417"/>
        <w:jc w:val="both"/>
        <w:rPr/>
      </w:pPr>
      <w:r>
        <w:rPr/>
        <w:t>e) Demonstrativo 5 - Origem e Aplicação dos Recursos Obtidos com a Alienação de Ativos;</w:t>
      </w:r>
    </w:p>
    <w:p>
      <w:pPr>
        <w:pStyle w:val="Normal"/>
        <w:bidi w:val="0"/>
        <w:spacing w:lineRule="auto" w:line="276"/>
        <w:ind w:left="0" w:right="0" w:firstLine="1417"/>
        <w:jc w:val="both"/>
        <w:rPr/>
      </w:pPr>
      <w:r>
        <w:rPr/>
        <w:t>f) Demonstrativo 6 - Avaliação da Situação Financeira e Atuarial do RPPS;</w:t>
      </w:r>
    </w:p>
    <w:p>
      <w:pPr>
        <w:pStyle w:val="Normal"/>
        <w:bidi w:val="0"/>
        <w:spacing w:lineRule="auto" w:line="276"/>
        <w:ind w:left="0" w:right="0" w:firstLine="1417"/>
        <w:jc w:val="both"/>
        <w:rPr/>
      </w:pPr>
      <w:r>
        <w:rPr/>
        <w:t>g) Demonstrativo 7 - Estimativa e Compensação da Renúncia de Receita;</w:t>
      </w:r>
    </w:p>
    <w:p>
      <w:pPr>
        <w:pStyle w:val="Normal"/>
        <w:bidi w:val="0"/>
        <w:spacing w:lineRule="auto" w:line="276"/>
        <w:ind w:left="0" w:right="0" w:firstLine="1417"/>
        <w:jc w:val="both"/>
        <w:rPr/>
      </w:pPr>
      <w:r>
        <w:rPr/>
        <w:t>h) Demonstrativo 8 - Margem de Expansão das Despesas Obrigatórias de Caráter Continuado.</w:t>
      </w:r>
    </w:p>
    <w:p>
      <w:pPr>
        <w:pStyle w:val="Normal"/>
        <w:bidi w:val="0"/>
        <w:spacing w:lineRule="auto" w:line="276"/>
        <w:ind w:left="0" w:right="0" w:firstLine="1417"/>
        <w:jc w:val="both"/>
        <w:rPr/>
      </w:pPr>
      <w:r>
        <w:rPr/>
        <w:t>III - Anexo III, que dispõe sobre os Riscos Fiscais, conforme previsto no § 3º, do artigo 4º, da Lei Complementar nº 101, de 4 de maio de 2000</w:t>
      </w:r>
    </w:p>
    <w:p>
      <w:pPr>
        <w:pStyle w:val="Normal"/>
        <w:bidi w:val="0"/>
        <w:spacing w:lineRule="auto" w:line="276"/>
        <w:ind w:left="0" w:right="0" w:firstLine="1417"/>
        <w:jc w:val="center"/>
        <w:rPr/>
      </w:pPr>
      <w:r>
        <w:rPr/>
        <w:br/>
      </w:r>
      <w:r>
        <w:rPr>
          <w:b/>
          <w:bCs/>
        </w:rPr>
        <w:t>CAPÍTULO II</w:t>
      </w:r>
      <w:r>
        <w:rPr/>
        <w:br/>
      </w:r>
      <w:r>
        <w:rPr>
          <w:b/>
          <w:bCs/>
        </w:rPr>
        <w:t>DAS METAS E PRIORIDADES DA ADMINISTRAÇÃO MUNICIPAL</w:t>
      </w:r>
    </w:p>
    <w:p>
      <w:pPr>
        <w:pStyle w:val="Normal"/>
        <w:bidi w:val="0"/>
        <w:spacing w:lineRule="auto" w:line="276"/>
        <w:ind w:left="0" w:right="0" w:firstLine="1417"/>
        <w:jc w:val="both"/>
        <w:rPr/>
      </w:pPr>
      <w:r>
        <w:rPr>
          <w:b/>
          <w:bCs/>
        </w:rPr>
        <w:t xml:space="preserve">Art. 2º. </w:t>
      </w:r>
      <w:r>
        <w:rPr/>
        <w:t>A partir das prioridades e objetivos constantes do Anexo I de Metas Prioritárias desta Lei, serão elaboradas as propostas orçamentárias para 2027, de acordo com as disponibilidades de recursos financeiros que trata o artigo 3º da presente Lei.</w:t>
      </w:r>
    </w:p>
    <w:p>
      <w:pPr>
        <w:pStyle w:val="Normal"/>
        <w:bidi w:val="0"/>
        <w:spacing w:lineRule="auto" w:line="276"/>
        <w:ind w:left="0" w:right="0" w:firstLine="1417"/>
        <w:jc w:val="both"/>
        <w:rPr/>
      </w:pPr>
      <w:r>
        <w:rPr/>
        <w:t>§ 1º. Na elaboração das diretrizes orçamentárias para o exercício financeiro de 2027 será dada prioridade às perspectivas elencadas pelo Governo Municipal, nos seguintes eixos:</w:t>
      </w:r>
    </w:p>
    <w:p>
      <w:pPr>
        <w:pStyle w:val="Normal"/>
        <w:bidi w:val="0"/>
        <w:spacing w:lineRule="auto" w:line="276"/>
        <w:ind w:left="0" w:right="0" w:firstLine="1417"/>
        <w:jc w:val="both"/>
        <w:rPr/>
      </w:pPr>
      <w:r>
        <w:rPr/>
        <w:t>I - Desenvolvimento social;</w:t>
      </w:r>
    </w:p>
    <w:p>
      <w:pPr>
        <w:pStyle w:val="Normal"/>
        <w:bidi w:val="0"/>
        <w:spacing w:lineRule="auto" w:line="276"/>
        <w:ind w:left="0" w:right="0" w:firstLine="1417"/>
        <w:jc w:val="both"/>
        <w:rPr/>
      </w:pPr>
      <w:r>
        <w:rPr/>
        <w:t>II - Desenvolvimento econômico, trabalho e renda;</w:t>
      </w:r>
    </w:p>
    <w:p>
      <w:pPr>
        <w:pStyle w:val="Normal"/>
        <w:bidi w:val="0"/>
        <w:spacing w:lineRule="auto" w:line="276"/>
        <w:ind w:left="0" w:right="0" w:firstLine="1417"/>
        <w:jc w:val="both"/>
        <w:rPr/>
      </w:pPr>
      <w:r>
        <w:rPr/>
        <w:t>III - Desenvolvimento urbano e meio ambiente;</w:t>
      </w:r>
    </w:p>
    <w:p>
      <w:pPr>
        <w:pStyle w:val="Normal"/>
        <w:bidi w:val="0"/>
        <w:spacing w:lineRule="auto" w:line="276"/>
        <w:ind w:left="0" w:right="0" w:firstLine="1417"/>
        <w:jc w:val="both"/>
        <w:rPr/>
      </w:pPr>
      <w:r>
        <w:rPr/>
        <w:t>IV - Desenvolvimento institucional.</w:t>
      </w:r>
    </w:p>
    <w:p>
      <w:pPr>
        <w:pStyle w:val="Normal"/>
        <w:bidi w:val="0"/>
        <w:spacing w:lineRule="auto" w:line="276"/>
        <w:ind w:left="0" w:right="0" w:firstLine="1417"/>
        <w:jc w:val="both"/>
        <w:rPr/>
      </w:pPr>
      <w:r>
        <w:rPr/>
        <w:t>§ 2º. A execução das ações vinculadas às metas e prioridades, que se referem, estará condicionada à manutenção do equilíbrio das contas públicas, conforme Anexo II de Metas Fiscais que integra a presente Lei.</w:t>
      </w:r>
    </w:p>
    <w:p>
      <w:pPr>
        <w:pStyle w:val="Normal"/>
        <w:bidi w:val="0"/>
        <w:spacing w:lineRule="auto" w:line="276"/>
        <w:ind w:left="0" w:right="0" w:firstLine="1417"/>
        <w:jc w:val="both"/>
        <w:rPr/>
      </w:pPr>
      <w:r>
        <w:rPr/>
        <w:t>§ 3º. Os investimentos em fase de execução já existentes terão preferência sobre os novos projetos.</w:t>
      </w:r>
    </w:p>
    <w:p>
      <w:pPr>
        <w:pStyle w:val="Normal"/>
        <w:bidi w:val="0"/>
        <w:spacing w:lineRule="auto" w:line="276"/>
        <w:ind w:left="0" w:right="0" w:firstLine="1417"/>
        <w:jc w:val="both"/>
        <w:rPr/>
      </w:pPr>
      <w:r>
        <w:rPr/>
        <w:t>§ 4º. O pagamento das despesas com pessoal e encargos sociais, bem como do serviço da dívida, terá prioridade sobre as ações de expansão.</w:t>
      </w:r>
    </w:p>
    <w:p>
      <w:pPr>
        <w:pStyle w:val="Normal"/>
        <w:bidi w:val="0"/>
        <w:spacing w:lineRule="auto" w:line="276"/>
        <w:ind w:left="0" w:right="0" w:firstLine="1417"/>
        <w:jc w:val="center"/>
        <w:rPr/>
      </w:pPr>
      <w:r>
        <w:rPr/>
        <w:br/>
      </w:r>
      <w:r>
        <w:rPr>
          <w:b/>
          <w:bCs/>
        </w:rPr>
        <w:t>CAPÍTULO III</w:t>
      </w:r>
      <w:r>
        <w:rPr/>
        <w:br/>
      </w:r>
      <w:r>
        <w:rPr>
          <w:b/>
          <w:bCs/>
        </w:rPr>
        <w:t>DA ESTRUTURA, ORGANIZAÇÃO E DIRETRIZES PARA A EXECUÇÃO DOS ORÇAMENTOS DO MUNICÍPIO PARA 2027</w:t>
      </w:r>
      <w:r>
        <w:rPr/>
        <w:br/>
        <w:br/>
        <w:t>Seção I</w:t>
        <w:br/>
        <w:t>Da Organização Dos Orçamentos do Município</w:t>
      </w:r>
    </w:p>
    <w:p>
      <w:pPr>
        <w:pStyle w:val="Normal"/>
        <w:bidi w:val="0"/>
        <w:spacing w:lineRule="auto" w:line="276"/>
        <w:ind w:left="0" w:right="0" w:firstLine="1417"/>
        <w:jc w:val="both"/>
        <w:rPr/>
      </w:pPr>
      <w:r>
        <w:rPr>
          <w:b/>
          <w:bCs/>
        </w:rPr>
        <w:t>Art. 3º.</w:t>
      </w:r>
      <w:r>
        <w:rPr/>
        <w:t xml:space="preserve"> O Projeto de Lei que dispor sobre a Lei Orçamentária Anual para o exercício de 2027 poderá conter programação contemplada em alterações do Plano Plurianual para o quadriênio 2026-2029.</w:t>
      </w:r>
    </w:p>
    <w:p>
      <w:pPr>
        <w:pStyle w:val="Normal"/>
        <w:bidi w:val="0"/>
        <w:spacing w:lineRule="auto" w:line="276"/>
        <w:ind w:left="0" w:right="0" w:firstLine="1417"/>
        <w:jc w:val="both"/>
        <w:rPr/>
      </w:pPr>
      <w:r>
        <w:rPr/>
        <w:t>§ 1º. Os valores constantes dos Anexos do Plano Plurianual e de suas alterações, referidos neste artigo, possuem caráter indicativo e não normativo, devendo servir de referência para o planejamento, podendo a Lei Orçamentária atualizá-los.</w:t>
      </w:r>
    </w:p>
    <w:p>
      <w:pPr>
        <w:pStyle w:val="Normal"/>
        <w:bidi w:val="0"/>
        <w:spacing w:lineRule="auto" w:line="276"/>
        <w:ind w:left="0" w:right="0" w:firstLine="1417"/>
        <w:jc w:val="both"/>
        <w:rPr/>
      </w:pPr>
      <w:r>
        <w:rPr/>
        <w:t>§ 2º. O Projeto de Lei Orçamentária do Município encaminhado ao Poder Legislativo será constituído de:</w:t>
      </w:r>
    </w:p>
    <w:p>
      <w:pPr>
        <w:pStyle w:val="Normal"/>
        <w:bidi w:val="0"/>
        <w:spacing w:lineRule="auto" w:line="276"/>
        <w:ind w:left="0" w:right="0" w:firstLine="1417"/>
        <w:jc w:val="both"/>
        <w:rPr/>
      </w:pPr>
      <w:r>
        <w:rPr/>
        <w:t>I - Texto da Lei;</w:t>
      </w:r>
    </w:p>
    <w:p>
      <w:pPr>
        <w:pStyle w:val="Normal"/>
        <w:bidi w:val="0"/>
        <w:spacing w:lineRule="auto" w:line="276"/>
        <w:ind w:left="0" w:right="0" w:firstLine="1417"/>
        <w:jc w:val="both"/>
        <w:rPr/>
      </w:pPr>
      <w:r>
        <w:rPr/>
        <w:t>II - Quadros orçamentários consolidados;</w:t>
      </w:r>
    </w:p>
    <w:p>
      <w:pPr>
        <w:pStyle w:val="Normal"/>
        <w:bidi w:val="0"/>
        <w:spacing w:lineRule="auto" w:line="276"/>
        <w:ind w:left="0" w:right="0" w:firstLine="1417"/>
        <w:jc w:val="both"/>
        <w:rPr/>
      </w:pPr>
      <w:r>
        <w:rPr/>
        <w:t>III - Anexo dos orçamentos fiscal e da seguridade social, discriminando a receita e a despesa na forma definida nesta Lei;</w:t>
      </w:r>
    </w:p>
    <w:p>
      <w:pPr>
        <w:pStyle w:val="Normal"/>
        <w:bidi w:val="0"/>
        <w:spacing w:lineRule="auto" w:line="276"/>
        <w:ind w:left="0" w:right="0" w:firstLine="1417"/>
        <w:jc w:val="both"/>
        <w:rPr/>
      </w:pPr>
      <w:r>
        <w:rPr/>
        <w:t>IV - Demonstrativo da estimativa e compensação da renúncia da receita e margem de expansão das despesas obrigatórias de caráter continuado;</w:t>
      </w:r>
    </w:p>
    <w:p>
      <w:pPr>
        <w:pStyle w:val="Normal"/>
        <w:bidi w:val="0"/>
        <w:spacing w:lineRule="auto" w:line="276"/>
        <w:ind w:left="0" w:right="0" w:firstLine="1417"/>
        <w:jc w:val="both"/>
        <w:rPr/>
      </w:pPr>
      <w:r>
        <w:rPr/>
        <w:t>V - Anexo de informação referente a unidades administrativas, campo de atuação de suas legislações;</w:t>
      </w:r>
    </w:p>
    <w:p>
      <w:pPr>
        <w:pStyle w:val="Normal"/>
        <w:bidi w:val="0"/>
        <w:spacing w:lineRule="auto" w:line="276"/>
        <w:ind w:left="0" w:right="0" w:firstLine="1417"/>
        <w:jc w:val="both"/>
        <w:rPr/>
      </w:pPr>
      <w:r>
        <w:rPr/>
        <w:t>VI - Demais anexos que a legislação vigente exigir.</w:t>
      </w:r>
    </w:p>
    <w:p>
      <w:pPr>
        <w:pStyle w:val="Normal"/>
        <w:bidi w:val="0"/>
        <w:spacing w:lineRule="auto" w:line="276"/>
        <w:ind w:left="0" w:right="0" w:firstLine="1417"/>
        <w:jc w:val="both"/>
        <w:rPr/>
      </w:pPr>
      <w:r>
        <w:rPr/>
        <w:t>§ 3º. A mensagem que encaminhará o projeto de lei orçamentária anual conterá:</w:t>
      </w:r>
    </w:p>
    <w:p>
      <w:pPr>
        <w:pStyle w:val="Normal"/>
        <w:bidi w:val="0"/>
        <w:spacing w:lineRule="auto" w:line="276"/>
        <w:ind w:left="0" w:right="0" w:firstLine="1417"/>
        <w:jc w:val="both"/>
        <w:rPr/>
      </w:pPr>
      <w:r>
        <w:rPr/>
        <w:t>I - Exposição circunstanciada de cenário econômico-financeiro;</w:t>
      </w:r>
    </w:p>
    <w:p>
      <w:pPr>
        <w:pStyle w:val="Normal"/>
        <w:bidi w:val="0"/>
        <w:spacing w:lineRule="auto" w:line="276"/>
        <w:ind w:left="0" w:right="0" w:firstLine="1417"/>
        <w:jc w:val="both"/>
        <w:rPr/>
      </w:pPr>
      <w:r>
        <w:rPr/>
        <w:t>II - Justificativa da estimativa, das principais receitas.</w:t>
      </w:r>
    </w:p>
    <w:p>
      <w:pPr>
        <w:pStyle w:val="Normal"/>
        <w:bidi w:val="0"/>
        <w:spacing w:lineRule="auto" w:line="276"/>
        <w:ind w:left="0" w:right="0" w:firstLine="1417"/>
        <w:jc w:val="both"/>
        <w:rPr/>
      </w:pPr>
      <w:r>
        <w:rPr/>
        <w:t>§ 4º. A Classificação da receita orçamentária, para o exercício financeiro de 2027, obedecerá ao disposto no art. 11 da Lei Federal nº 4.320, de 17 de março de 1964, nas Portarias e Instruções Normativas da Secretaria de Tesouro Nacional - STN e Secretaria do Orçamento Federal - SOF, em especial a Portaria Conjunta STN/SOF nº 163 e suas atualizações, bem como nas demais normas vigentes expedidas pela STN, SOF e TCE-RS.</w:t>
      </w:r>
    </w:p>
    <w:p>
      <w:pPr>
        <w:pStyle w:val="Normal"/>
        <w:bidi w:val="0"/>
        <w:spacing w:lineRule="auto" w:line="276"/>
        <w:ind w:left="0" w:right="0" w:firstLine="1417"/>
        <w:jc w:val="both"/>
        <w:rPr/>
      </w:pPr>
      <w:r>
        <w:rPr>
          <w:b/>
          <w:bCs/>
        </w:rPr>
        <w:t>Art. 4º.</w:t>
      </w:r>
      <w:r>
        <w:rPr/>
        <w:t xml:space="preserve"> A receita total prevista para o exercício de 2027, no total de R$ 2.179.162.834,00 (dois bilhões, cento e setenta e nove milhões, cento e sessenta e dois mil, oitocentos e trinta e quatro reais), sendo que referente à Administração Direta, está estimada em R$1.560.125.734,00 (Um bilhão, quinhentos e sessenta milhões, cento e vinte e cinco mil, setecentos e trinta e quatro reais), e referente à Administração Indireta, compreendendo, o Instituto de Previdência e Assistência ao Servidor Municipal - IPASEM, estimada em R$402.034.500,00 (quatrocentos e dois milhões, trinta e quatro mil e quinhentos reais) e a COMUSA - Serviços de Água e Esgoto de Novo Hamburgo, estimada em R$217.002.600,00 (duzentos e dezessete milhões, dois mil e seiscentos reais) devendo ter a seguinte destinação:</w:t>
      </w:r>
    </w:p>
    <w:p>
      <w:pPr>
        <w:pStyle w:val="Normal"/>
        <w:bidi w:val="0"/>
        <w:spacing w:lineRule="auto" w:line="276"/>
        <w:ind w:left="0" w:right="0" w:firstLine="1417"/>
        <w:jc w:val="both"/>
        <w:rPr/>
      </w:pPr>
      <w:r>
        <w:rPr/>
        <w:t>I - Para Reserva de Contingência no valor de no mínimo, 0,5% (meio por cento) da Receita Corrente Líquida atendendo ao disposto no inciso III do artigo 5º da Lei Complementar nº 101, de 4 de maio de 2000;</w:t>
      </w:r>
    </w:p>
    <w:p>
      <w:pPr>
        <w:pStyle w:val="Normal"/>
        <w:bidi w:val="0"/>
        <w:spacing w:lineRule="auto" w:line="276"/>
        <w:ind w:left="0" w:right="0" w:firstLine="1417"/>
        <w:jc w:val="both"/>
        <w:rPr/>
      </w:pPr>
      <w:r>
        <w:rPr/>
        <w:t>II – Para investimento até o montante do saldo dos recursos estimados.</w:t>
      </w:r>
    </w:p>
    <w:p>
      <w:pPr>
        <w:pStyle w:val="Normal"/>
        <w:bidi w:val="0"/>
        <w:spacing w:lineRule="auto" w:line="276"/>
        <w:ind w:left="0" w:right="0" w:firstLine="1417"/>
        <w:jc w:val="both"/>
        <w:rPr/>
      </w:pPr>
      <w:r>
        <w:rPr>
          <w:b/>
          <w:bCs/>
        </w:rPr>
        <w:t xml:space="preserve">Art. 5º. </w:t>
      </w:r>
      <w:r>
        <w:rPr/>
        <w:t xml:space="preserve">Conforme o inciso III do artigo 5º da Lei Complementar nº 101, de 4 de maio de 2000, os recursos da Reserva de Contingência, destinados ao atendimento de passivos contingentes e outros riscos e eventos fiscais imprevistos, serão utilizados igualmente para: </w:t>
      </w:r>
    </w:p>
    <w:p>
      <w:pPr>
        <w:pStyle w:val="Normal"/>
        <w:bidi w:val="0"/>
        <w:spacing w:lineRule="auto" w:line="276"/>
        <w:ind w:left="0" w:right="0" w:firstLine="1417"/>
        <w:jc w:val="both"/>
        <w:rPr/>
      </w:pPr>
      <w:r>
        <w:rPr/>
        <w:t>I - Pagamento de condenações judiciais de pequeno valor não sujeitas a precatório que venha a ser exigido no curso do exercício;</w:t>
      </w:r>
    </w:p>
    <w:p>
      <w:pPr>
        <w:pStyle w:val="Normal"/>
        <w:bidi w:val="0"/>
        <w:spacing w:lineRule="auto" w:line="276"/>
        <w:ind w:left="0" w:right="0" w:firstLine="1417"/>
        <w:jc w:val="both"/>
        <w:rPr/>
      </w:pPr>
      <w:r>
        <w:rPr/>
        <w:t>II - Atendimento de medidas liminares ou antecipatórias de tutela expedidas pelo Poder Judiciário que importem desembolso financeiro;</w:t>
      </w:r>
    </w:p>
    <w:p>
      <w:pPr>
        <w:pStyle w:val="Normal"/>
        <w:bidi w:val="0"/>
        <w:spacing w:lineRule="auto" w:line="276"/>
        <w:ind w:left="0" w:right="0" w:firstLine="1417"/>
        <w:jc w:val="both"/>
        <w:rPr/>
      </w:pPr>
      <w:r>
        <w:rPr/>
        <w:t>III - Atendimento de despesas decorrentes de situações de emergência ou calamidade pública oficialmente declaradas;</w:t>
      </w:r>
    </w:p>
    <w:p>
      <w:pPr>
        <w:pStyle w:val="Normal"/>
        <w:bidi w:val="0"/>
        <w:spacing w:lineRule="auto" w:line="276"/>
        <w:ind w:left="0" w:right="0" w:firstLine="1417"/>
        <w:jc w:val="both"/>
        <w:rPr/>
      </w:pPr>
      <w:r>
        <w:rPr/>
        <w:t>IV - Outros eventos congêneres.</w:t>
      </w:r>
    </w:p>
    <w:p>
      <w:pPr>
        <w:pStyle w:val="Normal"/>
        <w:bidi w:val="0"/>
        <w:spacing w:lineRule="auto" w:line="276"/>
        <w:ind w:left="0" w:right="0" w:firstLine="1417"/>
        <w:jc w:val="both"/>
        <w:rPr/>
      </w:pPr>
      <w:r>
        <w:rPr/>
        <w:t>§ 1º. A utilização dos recursos da Reserva de Contingência de que trata esta Lei dar-se-á mediante abertura de crédito adicional suplementar nas dotações orçamentárias próprias para atendimento da despesa ou abertura de crédito adicional especial.</w:t>
      </w:r>
    </w:p>
    <w:p>
      <w:pPr>
        <w:pStyle w:val="Normal"/>
        <w:bidi w:val="0"/>
        <w:spacing w:lineRule="auto" w:line="276"/>
        <w:ind w:left="0" w:right="0" w:firstLine="1417"/>
        <w:jc w:val="both"/>
        <w:rPr/>
      </w:pPr>
      <w:r>
        <w:rPr/>
        <w:t>§ 2º. Caso não seja necessária a utilização da Reserva de Contingência para sua finalidade, no todo ou em parte, o Poder Executivo fica autorizado a utilizar, conforme a necessidade, 1/12 (um, doze avos) por competência, do montante contingenciado, nas diversas ações de governo.</w:t>
      </w:r>
    </w:p>
    <w:p>
      <w:pPr>
        <w:pStyle w:val="Normal"/>
        <w:bidi w:val="0"/>
        <w:spacing w:lineRule="auto" w:line="276"/>
        <w:ind w:left="0" w:right="0" w:firstLine="1417"/>
        <w:jc w:val="both"/>
        <w:rPr/>
      </w:pPr>
      <w:r>
        <w:rPr>
          <w:b/>
          <w:bCs/>
        </w:rPr>
        <w:t>Art. 6º.</w:t>
      </w:r>
      <w:r>
        <w:rPr/>
        <w:t xml:space="preserve"> As Ações/Metas especificadas no Anexo I de Metas Prioritárias da Administração Municipal estão em consonância com as especificadas no Plano Plurianual - PPA, período 2026-2029, aprovado pela Lei nº 3616, de 08 de agosto de 2025 e alterações, e, ainda, deverão constar da Lei Orçamentária Anual para 2027, a ser encaminhada à Câmara Municipal até 31 de outubro de 2026.</w:t>
      </w:r>
    </w:p>
    <w:p>
      <w:pPr>
        <w:pStyle w:val="Normal"/>
        <w:bidi w:val="0"/>
        <w:spacing w:lineRule="auto" w:line="276"/>
        <w:ind w:left="0" w:right="0" w:firstLine="1417"/>
        <w:jc w:val="both"/>
        <w:rPr/>
      </w:pPr>
      <w:r>
        <w:rPr>
          <w:b/>
          <w:bCs/>
          <w:color w:val="000000"/>
        </w:rPr>
        <w:t>Art. 7º.</w:t>
      </w:r>
      <w:r>
        <w:rPr>
          <w:color w:val="000000"/>
        </w:rPr>
        <w:t xml:space="preserve"> A proposta orçamentária do Município será integrada pela proposta do Poder Legislativo e pelas propostas de todos os órgãos da Administração Direta e Indireta do Município.</w:t>
      </w:r>
    </w:p>
    <w:p>
      <w:pPr>
        <w:pStyle w:val="Normal"/>
        <w:bidi w:val="0"/>
        <w:spacing w:lineRule="auto" w:line="276"/>
        <w:ind w:left="0" w:right="0" w:firstLine="1417"/>
        <w:jc w:val="both"/>
        <w:rPr/>
      </w:pPr>
      <w:r>
        <w:rPr>
          <w:color w:val="000000"/>
        </w:rPr>
        <w:t>Parágrafo único. Para efeito do disposto neste capítulo, o Poder Legislativo do Município, as Autarquias e Fundações municipais, encaminharão ao Poder Executivo, até 01 de outubro de 2026, suas respectivas propostas orçamentárias, para fins de consolidação do Projeto de Lei orçamentária, observadas as disposições desta Lei.</w:t>
      </w:r>
    </w:p>
    <w:p>
      <w:pPr>
        <w:pStyle w:val="Normal"/>
        <w:bidi w:val="0"/>
        <w:spacing w:lineRule="auto" w:line="276"/>
        <w:ind w:left="0" w:right="0" w:firstLine="1417"/>
        <w:jc w:val="both"/>
        <w:rPr/>
      </w:pPr>
      <w:r>
        <w:rPr>
          <w:b/>
          <w:bCs/>
        </w:rPr>
        <w:t>Art. 8º.</w:t>
      </w:r>
      <w:r>
        <w:rPr/>
        <w:t xml:space="preserve"> As receitas e as despesas dos orçamentos dos Poderes </w:t>
      </w:r>
      <w:r>
        <w:rPr>
          <w:color w:val="000000"/>
        </w:rPr>
        <w:t>Legislativo e Executivo, inclusive suas Autarquias e Fundações</w:t>
      </w:r>
      <w:r>
        <w:rPr/>
        <w:t xml:space="preserve">, serão classificadas e demonstradas segundo a legislação em vigor. </w:t>
      </w:r>
    </w:p>
    <w:p>
      <w:pPr>
        <w:pStyle w:val="Normal"/>
        <w:bidi w:val="0"/>
        <w:spacing w:lineRule="auto" w:line="276"/>
        <w:ind w:left="0" w:right="0" w:firstLine="1417"/>
        <w:jc w:val="both"/>
        <w:rPr/>
      </w:pPr>
      <w:r>
        <w:rPr/>
        <w:t>§ 1º. Conforme artigo 8º da Lei Complementar Federal nº 101/2000, deverão ser elaborados e publicados, até 30 (trinta) dias após a publicação da Lei Orçamentária, a programação financeira e o cronograma de execução mensal de desembolso.</w:t>
      </w:r>
    </w:p>
    <w:p>
      <w:pPr>
        <w:pStyle w:val="Normal"/>
        <w:bidi w:val="0"/>
        <w:spacing w:lineRule="auto" w:line="276"/>
        <w:ind w:left="0" w:right="0" w:firstLine="1417"/>
        <w:jc w:val="both"/>
        <w:rPr/>
      </w:pPr>
      <w:r>
        <w:rPr>
          <w:shd w:fill="FFFFFF" w:val="clear"/>
        </w:rPr>
        <w:t xml:space="preserve">§ 2º. Atendendo ao artigo 13 da </w:t>
      </w:r>
      <w:r>
        <w:rPr>
          <w:color w:val="000000"/>
          <w:shd w:fill="FFFFFF" w:val="clear"/>
        </w:rPr>
        <w:t>Lei Complementar nº 101, de 4 de maio de 2000</w:t>
      </w:r>
      <w:r>
        <w:rPr>
          <w:shd w:fill="FFFFFF" w:val="clear"/>
        </w:rPr>
        <w:t>, no prazo estipulado pelo artigo 8º do mesmo diploma, as receitas previstas serão desdobradas em metas bimestrais de arrecadação, com especificação em separado, quando cabível, das medidas de combate à evasão e à sonegação, da quantidade e valores de ações ajuizadas para cobrança da dívida ativa, bem como da evolução do montante dos créditos tributários passíveis de cobrança administrativa.</w:t>
      </w:r>
    </w:p>
    <w:p>
      <w:pPr>
        <w:pStyle w:val="Normal"/>
        <w:bidi w:val="0"/>
        <w:spacing w:lineRule="auto" w:line="276"/>
        <w:ind w:left="0" w:right="0" w:firstLine="1417"/>
        <w:jc w:val="center"/>
        <w:rPr/>
      </w:pPr>
      <w:r>
        <w:rPr/>
        <w:br/>
        <w:t>Seção II</w:t>
        <w:br/>
        <w:t>Da Disposição Sobre Novos Projetos</w:t>
      </w:r>
    </w:p>
    <w:p>
      <w:pPr>
        <w:pStyle w:val="Normal"/>
        <w:bidi w:val="0"/>
        <w:spacing w:lineRule="auto" w:line="276"/>
        <w:ind w:left="0" w:right="0" w:firstLine="1417"/>
        <w:jc w:val="both"/>
        <w:rPr/>
      </w:pPr>
      <w:r>
        <w:rPr>
          <w:b/>
          <w:bCs/>
        </w:rPr>
        <w:t>Art. 9º.</w:t>
      </w:r>
      <w:r>
        <w:rPr/>
        <w:t xml:space="preserve"> A programação de novos projetos não poderá se dar à custa de anulações de dotações destinadas a investimentos em andamento, em consonância com o artigo 45 da </w:t>
      </w:r>
      <w:r>
        <w:rPr>
          <w:color w:val="000000"/>
        </w:rPr>
        <w:t>Lei Complementar nº 101, de 4 de maio de 2000.</w:t>
      </w:r>
    </w:p>
    <w:p>
      <w:pPr>
        <w:pStyle w:val="Normal"/>
        <w:bidi w:val="0"/>
        <w:spacing w:lineRule="auto" w:line="276"/>
        <w:ind w:left="0" w:right="0" w:firstLine="1417"/>
        <w:jc w:val="both"/>
        <w:rPr/>
      </w:pPr>
      <w:r>
        <w:rPr/>
        <w:t>§ 1º. Além da observância das prioridades e metas de que trata esta Lei, a Lei Orçamentária e seus créditos adicionais, somente incluirão projetos novos após:</w:t>
      </w:r>
    </w:p>
    <w:p>
      <w:pPr>
        <w:pStyle w:val="Normal"/>
        <w:bidi w:val="0"/>
        <w:spacing w:lineRule="auto" w:line="276"/>
        <w:ind w:left="0" w:right="0" w:firstLine="1417"/>
        <w:jc w:val="both"/>
        <w:rPr/>
      </w:pPr>
      <w:r>
        <w:rPr/>
        <w:t>I - Terem sido adequadamente contemplados todos os projetos e respectivos subtítulos em andamento, com recursos necessários ao término do projeto.</w:t>
      </w:r>
    </w:p>
    <w:p>
      <w:pPr>
        <w:pStyle w:val="Normal"/>
        <w:bidi w:val="0"/>
        <w:spacing w:lineRule="auto" w:line="276"/>
        <w:ind w:left="0" w:right="0" w:firstLine="1417"/>
        <w:jc w:val="both"/>
        <w:rPr/>
      </w:pPr>
      <w:r>
        <w:rPr/>
        <w:t>II - Estiverem assegurados os recursos de manutenção do patrimônio público e, efetivamente, o Poder Público estiver adotando as medidas necessárias para tanto.</w:t>
      </w:r>
    </w:p>
    <w:p>
      <w:pPr>
        <w:pStyle w:val="Normal"/>
        <w:bidi w:val="0"/>
        <w:spacing w:lineRule="auto" w:line="276"/>
        <w:ind w:left="0" w:right="0" w:firstLine="1417"/>
        <w:jc w:val="both"/>
        <w:rPr/>
      </w:pPr>
      <w:r>
        <w:rPr/>
        <w:t>§ 2º. Não constitui infração a este artigo o início de novo projeto, mesmo possuindo outros projetos em andamento, caso haja suficiente previsão de recursos orçamentários e financeiros para o atendimento dos projetos em andamento e novos.</w:t>
      </w:r>
    </w:p>
    <w:p>
      <w:pPr>
        <w:pStyle w:val="Normal"/>
        <w:bidi w:val="0"/>
        <w:spacing w:lineRule="auto" w:line="276"/>
        <w:ind w:left="0" w:right="0" w:firstLine="1417"/>
        <w:jc w:val="center"/>
        <w:rPr/>
      </w:pPr>
      <w:r>
        <w:rPr/>
        <w:br/>
        <w:t>Seção III</w:t>
        <w:br/>
        <w:t>Do Equilíbrio Entre Receitas e Despesas</w:t>
      </w:r>
    </w:p>
    <w:p>
      <w:pPr>
        <w:pStyle w:val="Normal"/>
        <w:bidi w:val="0"/>
        <w:spacing w:lineRule="auto" w:line="276"/>
        <w:ind w:left="0" w:right="0" w:firstLine="1417"/>
        <w:jc w:val="both"/>
        <w:rPr/>
      </w:pPr>
      <w:r>
        <w:rPr>
          <w:b/>
          <w:bCs/>
          <w:color w:val="000000"/>
        </w:rPr>
        <w:t xml:space="preserve">Art. 10. </w:t>
      </w:r>
      <w:r>
        <w:rPr>
          <w:color w:val="000000"/>
        </w:rPr>
        <w:t>A execução da lei orçamentária do Município deverá observar ao princípio do equilíbrio orçamentário entre receitas e despesas, ressalvados os casos excepcionais a seguir descritos:</w:t>
      </w:r>
    </w:p>
    <w:p>
      <w:pPr>
        <w:pStyle w:val="Normal"/>
        <w:bidi w:val="0"/>
        <w:spacing w:lineRule="auto" w:line="276"/>
        <w:ind w:left="0" w:right="0" w:firstLine="1417"/>
        <w:jc w:val="both"/>
        <w:rPr/>
      </w:pPr>
      <w:r>
        <w:rPr/>
        <w:t>I - a suspensão, por outro ente federativo, da transferência de recursos ao Município, que venha a ser sustada de forma inesperada;</w:t>
      </w:r>
    </w:p>
    <w:p>
      <w:pPr>
        <w:pStyle w:val="Normal"/>
        <w:bidi w:val="0"/>
        <w:spacing w:lineRule="auto" w:line="276"/>
        <w:ind w:left="0" w:right="0" w:firstLine="1417"/>
        <w:jc w:val="both"/>
        <w:rPr/>
      </w:pPr>
      <w:r>
        <w:rPr/>
        <w:t>II - situações que exijam a efetivação de despesas por parte dos órgãos do Município, a fim de evitar riscos ao meio ambiente e à população, de forma geral ou localizada;</w:t>
      </w:r>
    </w:p>
    <w:p>
      <w:pPr>
        <w:pStyle w:val="Normal"/>
        <w:bidi w:val="0"/>
        <w:spacing w:lineRule="auto" w:line="276"/>
        <w:ind w:left="0" w:right="0" w:firstLine="1417"/>
        <w:jc w:val="both"/>
        <w:rPr/>
      </w:pPr>
      <w:r>
        <w:rPr/>
        <w:t>III - atendimento de ordens judiciais;</w:t>
      </w:r>
    </w:p>
    <w:p>
      <w:pPr>
        <w:pStyle w:val="Normal"/>
        <w:bidi w:val="0"/>
        <w:spacing w:lineRule="auto" w:line="276"/>
        <w:ind w:left="0" w:right="0" w:firstLine="1417"/>
        <w:jc w:val="both"/>
        <w:rPr/>
      </w:pPr>
      <w:r>
        <w:rPr/>
        <w:t>IV - circunstâncias em que a suspensão de uma despesa venha redundar em futuros prejuízos ao Município; e</w:t>
      </w:r>
    </w:p>
    <w:p>
      <w:pPr>
        <w:pStyle w:val="Normal"/>
        <w:bidi w:val="0"/>
        <w:spacing w:lineRule="auto" w:line="276"/>
        <w:ind w:left="0" w:right="0" w:firstLine="1417"/>
        <w:jc w:val="both"/>
        <w:rPr/>
      </w:pPr>
      <w:r>
        <w:rPr/>
        <w:t>V - despesas para atendimento de casos de calamidade pública.</w:t>
      </w:r>
    </w:p>
    <w:p>
      <w:pPr>
        <w:pStyle w:val="Normal"/>
        <w:bidi w:val="0"/>
        <w:spacing w:lineRule="auto" w:line="276"/>
        <w:ind w:left="0" w:right="0" w:firstLine="1417"/>
        <w:jc w:val="both"/>
        <w:rPr/>
      </w:pPr>
      <w:r>
        <w:rPr/>
        <w:t xml:space="preserve">§ 1º. Os recursos vinculados serão utilizados unicamente para atender os objetivos das suas vinculações, ainda que em exercício diverso daquele em que ocorrer o ingresso dos recursos, na forma do parágrafo único do artigo 8º da </w:t>
      </w:r>
      <w:r>
        <w:rPr>
          <w:color w:val="000000"/>
        </w:rPr>
        <w:t>Lei Complementar nº 101, de 4 de maio de 2000.</w:t>
      </w:r>
    </w:p>
    <w:p>
      <w:pPr>
        <w:pStyle w:val="Normal"/>
        <w:bidi w:val="0"/>
        <w:spacing w:lineRule="auto" w:line="276"/>
        <w:ind w:left="0" w:right="0" w:firstLine="1417"/>
        <w:jc w:val="both"/>
        <w:rPr/>
      </w:pPr>
      <w:r>
        <w:rPr/>
        <w:t>§ 2º. O Poder Executivo acompanhará, durante a execução orçamentária, a relação entre despesas correntes e receitas correntes, observando o art. 167-A da Constituição Federal e a metodologia aplicável, adotando, quando cabíveis, as medidas de ajuste fiscal nele previstas.</w:t>
      </w:r>
    </w:p>
    <w:p>
      <w:pPr>
        <w:pStyle w:val="Normal"/>
        <w:bidi w:val="0"/>
        <w:spacing w:lineRule="auto" w:line="276"/>
        <w:ind w:left="0" w:right="0" w:firstLine="1417"/>
        <w:jc w:val="both"/>
        <w:rPr/>
      </w:pPr>
      <w:r>
        <w:rPr/>
        <w:t>§</w:t>
      </w:r>
      <w:r>
        <w:rPr>
          <w:shd w:fill="FFFFFF" w:val="clear"/>
        </w:rPr>
        <w:t xml:space="preserve"> 3º. Sem prejuízo do disposto nos §§ 1º e 2º, o Poder Executivo poderá promover bloqueios administrativos, totais ou parciais, de dotações orçamentárias, para fins de controle, programação e acompanhamento da execução orçamentária.</w:t>
      </w:r>
    </w:p>
    <w:p>
      <w:pPr>
        <w:pStyle w:val="Normal"/>
        <w:bidi w:val="0"/>
        <w:spacing w:lineRule="auto" w:line="276"/>
        <w:ind w:left="0" w:right="0" w:firstLine="1417"/>
        <w:jc w:val="both"/>
        <w:rPr/>
      </w:pPr>
      <w:r>
        <w:rPr/>
        <w:t>§ 4º. Os bloqueios administrativos de que trata o § 3º não se confundem com a limitação de empenho e movimentação financeira prevista no art. 9º da Lei Complementar Federal nº 101, de 4 de maio de 2000, e poderão ser revistos ou liberados de acordo com as necessidades e a evolução da execução orçamentária e financeira.</w:t>
      </w:r>
    </w:p>
    <w:p>
      <w:pPr>
        <w:pStyle w:val="Normal"/>
        <w:bidi w:val="0"/>
        <w:spacing w:lineRule="auto" w:line="276"/>
        <w:ind w:left="0" w:right="0" w:firstLine="1417"/>
        <w:jc w:val="both"/>
        <w:rPr/>
      </w:pPr>
      <w:r>
        <w:rPr/>
        <w:t>§ 5º. Para fins do disposto no § 3º do art. 16 da Lei Complementar Federal nº 101, de 4 de maio de 2000, consideram-se irrelevantes as despesas cujo valor não ultrapasse os limites previstos nos incisos I e II do art. 75 da Lei Federal nº 14.133, de 1º de abril de 2021, considerados os valores vigentes e suas atualizações.</w:t>
      </w:r>
    </w:p>
    <w:p>
      <w:pPr>
        <w:pStyle w:val="Normal"/>
        <w:bidi w:val="0"/>
        <w:spacing w:lineRule="auto" w:line="276"/>
        <w:ind w:left="0" w:right="0" w:firstLine="1417"/>
        <w:jc w:val="both"/>
        <w:rPr/>
      </w:pPr>
      <w:r>
        <w:rPr/>
        <w:t>§ 6º. Ao final dos quadrimestres de maio, setembro e fevereiro, o Poder Executivo Municipal demonstrará, em audiência pública, o cumprimento das metas fiscais.</w:t>
      </w:r>
    </w:p>
    <w:p>
      <w:pPr>
        <w:pStyle w:val="Normal"/>
        <w:bidi w:val="0"/>
        <w:spacing w:lineRule="auto" w:line="276"/>
        <w:ind w:left="0" w:right="0" w:firstLine="1417"/>
        <w:jc w:val="both"/>
        <w:rPr/>
      </w:pPr>
      <w:r>
        <w:rPr>
          <w:b/>
          <w:bCs/>
          <w:color w:val="000000"/>
        </w:rPr>
        <w:t>Art. 11.</w:t>
      </w:r>
      <w:r>
        <w:rPr>
          <w:color w:val="000000"/>
        </w:rPr>
        <w:t xml:space="preserve"> Nos termos do art. 149, § 9º, inciso III, da </w:t>
      </w:r>
      <w:hyperlink r:id="rId2">
        <w:r>
          <w:rPr/>
          <w:t>Constituição do Estado</w:t>
        </w:r>
      </w:hyperlink>
      <w:r>
        <w:rPr>
          <w:color w:val="000000"/>
        </w:rPr>
        <w:t xml:space="preserve">, e do art. 7º. da Lei Federal nº </w:t>
      </w:r>
      <w:hyperlink r:id="rId3">
        <w:r>
          <w:rPr/>
          <w:t>4.320</w:t>
        </w:r>
      </w:hyperlink>
      <w:r>
        <w:rPr>
          <w:color w:val="000000"/>
        </w:rPr>
        <w:t>, de 17 de março de 1964, a lei orçamentária anual indicará as medidas que o Poder Executivo tomará para a cobertura do déficit orçamentário previsto para o exercício econômico-financeiro de 2027.</w:t>
      </w:r>
    </w:p>
    <w:p>
      <w:pPr>
        <w:pStyle w:val="Normal"/>
        <w:bidi w:val="0"/>
        <w:spacing w:lineRule="auto" w:line="276"/>
        <w:ind w:left="0" w:right="0" w:firstLine="1417"/>
        <w:jc w:val="both"/>
        <w:rPr/>
      </w:pPr>
      <w:r>
        <w:rPr>
          <w:b/>
          <w:bCs/>
        </w:rPr>
        <w:t>Art. 12.</w:t>
      </w:r>
      <w:r>
        <w:rPr/>
        <w:t xml:space="preserve"> Caso seja necessária a limitação de empenho e movimentação financeira para o cumprimento das metas fiscais, cada Poder promoverá, por ato próprio e nos montantes necessários, a limitação das dotações passíveis de contingenciamento, observados os critérios estabelecidos nesta Lei.</w:t>
      </w:r>
    </w:p>
    <w:p>
      <w:pPr>
        <w:pStyle w:val="Normal"/>
        <w:bidi w:val="0"/>
        <w:spacing w:lineRule="auto" w:line="276"/>
        <w:ind w:left="0" w:right="0" w:firstLine="1417"/>
        <w:jc w:val="both"/>
        <w:rPr/>
      </w:pPr>
      <w:r>
        <w:rPr/>
        <w:t>I - são vedados quaisquer procedimentos, pelos ordenadores de despesas, que possibilitem a execução das despesas descritas no art. 11, desta Lei, sem comprovada e suficiente disponibilidade de dotação orçamentária, em cumprimento aos arts. 15 e 16 da Lei Complementar Federal nº 101, de 2000.</w:t>
      </w:r>
    </w:p>
    <w:p>
      <w:pPr>
        <w:pStyle w:val="Normal"/>
        <w:bidi w:val="0"/>
        <w:spacing w:lineRule="auto" w:line="276"/>
        <w:ind w:left="0" w:right="0" w:firstLine="1417"/>
        <w:jc w:val="both"/>
        <w:rPr/>
      </w:pPr>
      <w:r>
        <w:rPr/>
        <w:t>II - serão registrados, no âmbito de cada órgão, todos os atos e fatos relativos à gestão orçamentária e financeira, sem prejuízo das responsabilidades e demais consequências advindas da inobservância do caput deste artigo.</w:t>
      </w:r>
    </w:p>
    <w:p>
      <w:pPr>
        <w:pStyle w:val="Normal"/>
        <w:bidi w:val="0"/>
        <w:spacing w:lineRule="auto" w:line="276"/>
        <w:ind w:left="0" w:right="0" w:firstLine="1417"/>
        <w:jc w:val="both"/>
        <w:rPr/>
      </w:pPr>
      <w:r>
        <w:rPr/>
        <w:t>III - se verificado, ao final de um bimestre, que a realização da receita poderá não comportar o cumprimento das metas de resultado primário ou nominal estabelecidas no Anexo de Metas Fiscais, os Poderes promoverão por ato próprio e nos montantes necessários, nos 30 (trinta) dias subsequentes, limitação de empenho e de movimentação financeira;</w:t>
      </w:r>
    </w:p>
    <w:p>
      <w:pPr>
        <w:pStyle w:val="Normal"/>
        <w:bidi w:val="0"/>
        <w:spacing w:lineRule="auto" w:line="276"/>
        <w:ind w:left="0" w:right="0" w:firstLine="1417"/>
        <w:jc w:val="both"/>
        <w:rPr/>
      </w:pPr>
      <w:r>
        <w:rPr/>
        <w:t xml:space="preserve">IV - no caso de restabelecimento da receita prevista, ainda que parcial, a recomposição das dotações cujos empenhos foram limitados, dar-se-á de forma proporcional às reduções efetivadas; </w:t>
      </w:r>
    </w:p>
    <w:p>
      <w:pPr>
        <w:pStyle w:val="Normal"/>
        <w:bidi w:val="0"/>
        <w:spacing w:lineRule="auto" w:line="276"/>
        <w:ind w:left="0" w:right="0" w:firstLine="1417"/>
        <w:jc w:val="both"/>
        <w:rPr/>
      </w:pPr>
      <w:r>
        <w:rPr/>
        <w:t>V - não será objeto de limitação as despesas que constituam obrigações constitucionais e legais do Município, inclusive aquelas destinadas ao pagamento de despesas com de pessoal, encargos obrigatórios e o serviço da dívida;</w:t>
      </w:r>
    </w:p>
    <w:p>
      <w:pPr>
        <w:pStyle w:val="Normal"/>
        <w:bidi w:val="0"/>
        <w:spacing w:lineRule="auto" w:line="276"/>
        <w:ind w:left="0" w:right="0" w:firstLine="1417"/>
        <w:jc w:val="both"/>
        <w:rPr/>
      </w:pPr>
      <w:r>
        <w:rPr/>
        <w:t>VI - A limitação de empenho observará, sempre que possível e conforme a natureza da despesa, a seguinte ordem preferencial de adoção das medidas de contingenciamento:</w:t>
      </w:r>
    </w:p>
    <w:p>
      <w:pPr>
        <w:pStyle w:val="Normal"/>
        <w:bidi w:val="0"/>
        <w:spacing w:lineRule="auto" w:line="276"/>
        <w:ind w:left="0" w:right="0" w:firstLine="1417"/>
        <w:jc w:val="both"/>
        <w:rPr/>
      </w:pPr>
      <w:r>
        <w:rPr/>
        <w:t>a) redução das despesas gerais de manutenção dos órgãos, observados os princípios da continuidade dos serviços públicos essenciais;</w:t>
      </w:r>
    </w:p>
    <w:p>
      <w:pPr>
        <w:pStyle w:val="Normal"/>
        <w:bidi w:val="0"/>
        <w:spacing w:lineRule="auto" w:line="276"/>
        <w:ind w:left="0" w:right="0" w:firstLine="1417"/>
        <w:jc w:val="both"/>
        <w:rPr/>
      </w:pPr>
      <w:r>
        <w:rPr/>
        <w:t>b) suspensão ou redução de despesas com eventos, publicidade institucional, diárias, passagens, capacitações e demais despesas discricionárias, ressalvadas aquelas imprescindíveis à continuidade dos serviços públicos;</w:t>
      </w:r>
    </w:p>
    <w:p>
      <w:pPr>
        <w:pStyle w:val="Normal"/>
        <w:bidi w:val="0"/>
        <w:spacing w:lineRule="auto" w:line="276"/>
        <w:ind w:left="0" w:right="0" w:firstLine="1417"/>
        <w:jc w:val="both"/>
        <w:rPr/>
      </w:pPr>
      <w:r>
        <w:rPr/>
        <w:t>c) revisão, renegociação, redimensionamento ou supressão de contratos administrativos, sempre que técnica e juridicamente viável, visando à redução dos custos de manutenção da Administração;</w:t>
      </w:r>
    </w:p>
    <w:p>
      <w:pPr>
        <w:pStyle w:val="Normal"/>
        <w:bidi w:val="0"/>
        <w:spacing w:lineRule="auto" w:line="276"/>
        <w:ind w:left="0" w:right="0" w:firstLine="1417"/>
        <w:jc w:val="both"/>
        <w:rPr/>
      </w:pPr>
      <w:r>
        <w:rPr/>
        <w:t>d) redução dos gastos com serviços terceirizados, observada a continuidade dos serviços essenciais;</w:t>
      </w:r>
    </w:p>
    <w:p>
      <w:pPr>
        <w:pStyle w:val="Normal"/>
        <w:bidi w:val="0"/>
        <w:spacing w:lineRule="auto" w:line="276"/>
        <w:ind w:left="0" w:right="0" w:firstLine="1417"/>
        <w:jc w:val="both"/>
        <w:rPr/>
      </w:pPr>
      <w:r>
        <w:rPr/>
        <w:t>e) suspensão de novas contratações, aquisições, locações e investimentos ainda não iniciados, ressalvados aqueles financiados com recursos vinculados, decorrentes de obrigação legal, decisão judicial ou destinados à manutenção dos serviços essenciais;</w:t>
      </w:r>
    </w:p>
    <w:p>
      <w:pPr>
        <w:pStyle w:val="Normal"/>
        <w:bidi w:val="0"/>
        <w:spacing w:lineRule="auto" w:line="276"/>
        <w:ind w:left="0" w:right="0" w:firstLine="1417"/>
        <w:jc w:val="both"/>
        <w:rPr/>
      </w:pPr>
      <w:r>
        <w:rPr/>
        <w:t>f) suspensão do provimento de cargos efetivos e em comissão, bem como de novas contratações temporárias, ressalvadas as hipóteses de excepcional interesse público devidamente justificadas;</w:t>
      </w:r>
    </w:p>
    <w:p>
      <w:pPr>
        <w:pStyle w:val="Normal"/>
        <w:bidi w:val="0"/>
        <w:spacing w:lineRule="auto" w:line="276"/>
        <w:ind w:left="0" w:right="0" w:firstLine="1417"/>
        <w:jc w:val="both"/>
        <w:rPr/>
      </w:pPr>
      <w:r>
        <w:rPr/>
        <w:t>g) limitação da realização de horas extraordinárias, ressalvadas as indispensáveis à continuidade dos serviços públicos essenciais;</w:t>
      </w:r>
    </w:p>
    <w:p>
      <w:pPr>
        <w:pStyle w:val="Normal"/>
        <w:bidi w:val="0"/>
        <w:spacing w:lineRule="auto" w:line="276"/>
        <w:ind w:left="0" w:right="0" w:firstLine="1417"/>
        <w:jc w:val="both"/>
        <w:rPr/>
      </w:pPr>
      <w:r>
        <w:rPr/>
        <w:t>h) reavaliação da utilização de imóveis, veículos, equipamentos e demais estruturas administrativas, visando à racionalização dos custos operacionais;</w:t>
      </w:r>
    </w:p>
    <w:p>
      <w:pPr>
        <w:pStyle w:val="Normal"/>
        <w:bidi w:val="0"/>
        <w:spacing w:lineRule="auto" w:line="276"/>
        <w:ind w:left="0" w:right="0" w:firstLine="1417"/>
        <w:jc w:val="both"/>
        <w:rPr/>
      </w:pPr>
      <w:r>
        <w:rPr/>
        <w:t>i) redução de ocupantes de cargos em comissão;</w:t>
      </w:r>
    </w:p>
    <w:p>
      <w:pPr>
        <w:pStyle w:val="Normal"/>
        <w:bidi w:val="0"/>
        <w:spacing w:lineRule="auto" w:line="276"/>
        <w:ind w:left="0" w:right="0" w:firstLine="1417"/>
        <w:jc w:val="both"/>
        <w:rPr/>
      </w:pPr>
      <w:r>
        <w:rPr/>
        <w:t>j) redução de gastos com pessoal não estável;</w:t>
      </w:r>
    </w:p>
    <w:p>
      <w:pPr>
        <w:pStyle w:val="Normal"/>
        <w:bidi w:val="0"/>
        <w:spacing w:lineRule="auto" w:line="276"/>
        <w:ind w:left="0" w:right="0" w:firstLine="1417"/>
        <w:jc w:val="both"/>
        <w:rPr/>
      </w:pPr>
      <w:r>
        <w:rPr/>
        <w:t>k) redução de gastos com pessoal celetista;</w:t>
      </w:r>
    </w:p>
    <w:p>
      <w:pPr>
        <w:pStyle w:val="Normal"/>
        <w:bidi w:val="0"/>
        <w:spacing w:lineRule="auto" w:line="276"/>
        <w:ind w:left="0" w:right="0" w:firstLine="1417"/>
        <w:jc w:val="both"/>
        <w:rPr/>
      </w:pPr>
      <w:r>
        <w:rPr/>
        <w:t>l) redução de gastos com pessoal estável, observadas as normas constitucionais e legais aplicáveis.</w:t>
      </w:r>
    </w:p>
    <w:p>
      <w:pPr>
        <w:pStyle w:val="Normal"/>
        <w:bidi w:val="0"/>
        <w:spacing w:lineRule="auto" w:line="276"/>
        <w:ind w:left="0" w:right="0" w:firstLine="1417"/>
        <w:jc w:val="both"/>
        <w:rPr/>
      </w:pPr>
      <w:r>
        <w:rPr/>
        <w:t>Parágrafo único. A adoção das medidas previstas neste inciso poderá ocorrer de forma isolada ou cumulativa, observada a sua adequação à situação fiscal verificada, a natureza da despesa e a necessidade de preservação da continuidade e da eficiência dos serviços públicos.</w:t>
      </w:r>
    </w:p>
    <w:p>
      <w:pPr>
        <w:pStyle w:val="Normal"/>
        <w:bidi w:val="0"/>
        <w:spacing w:lineRule="auto" w:line="276"/>
        <w:ind w:left="0" w:right="0" w:firstLine="1417"/>
        <w:jc w:val="center"/>
        <w:rPr/>
      </w:pPr>
      <w:r>
        <w:rPr/>
        <w:br/>
        <w:t>Seção IV</w:t>
        <w:br/>
        <w:t>Dos Recursos Correspondentes às Dotações Orçamentárias Destinadas ao Poder Legislativo</w:t>
      </w:r>
    </w:p>
    <w:p>
      <w:pPr>
        <w:pStyle w:val="Normal"/>
        <w:bidi w:val="0"/>
        <w:spacing w:lineRule="auto" w:line="276"/>
        <w:ind w:left="0" w:right="0" w:firstLine="1417"/>
        <w:jc w:val="both"/>
        <w:rPr/>
      </w:pPr>
      <w:r>
        <w:rPr>
          <w:b/>
          <w:bCs/>
        </w:rPr>
        <w:t xml:space="preserve">Art. 13. </w:t>
      </w:r>
      <w:r>
        <w:rPr>
          <w:shd w:fill="FFFFFF" w:val="clear"/>
        </w:rPr>
        <w:t>O Poder Legislativo do Município terá como limite de despesas, para efeito de elaboração de sua respectiva proposta orçamentária, a aplicação do percentual previsto no inciso II do art. 29-A da Constituição da Federal.</w:t>
      </w:r>
    </w:p>
    <w:p>
      <w:pPr>
        <w:pStyle w:val="Normal"/>
        <w:bidi w:val="0"/>
        <w:spacing w:lineRule="auto" w:line="276"/>
        <w:ind w:left="0" w:right="0" w:firstLine="1417"/>
        <w:jc w:val="both"/>
        <w:rPr/>
      </w:pPr>
      <w:r>
        <w:rPr/>
        <w:t>Parágrafo único. Para efeitos do cálculo a que se refere o caput, considerar-se-á a receita efetivamente arrecadada, acrescida da tendência de arrecadação até o final do exercício, ficando determinado que caso ao término do exercício, a receita arrecadada situar-se em patamares inferiores aos previstos, o Poder Legislativo indicará as dotações a serem contingenciadas ou utilizadas para a abertura de créditos adicionais no Poder Executivo.</w:t>
      </w:r>
    </w:p>
    <w:p>
      <w:pPr>
        <w:pStyle w:val="Normal"/>
        <w:bidi w:val="0"/>
        <w:spacing w:lineRule="auto" w:line="276"/>
        <w:ind w:left="0" w:right="0" w:firstLine="1417"/>
        <w:jc w:val="both"/>
        <w:rPr/>
      </w:pPr>
      <w:r>
        <w:rPr>
          <w:b/>
          <w:bCs/>
        </w:rPr>
        <w:t>Art. 14.</w:t>
      </w:r>
      <w:r>
        <w:rPr/>
        <w:t xml:space="preserve"> No Projeto de Lei Orçamentária Anual para o exercício de 2027, as estimativas de receitas e despesas serão elaboradas considerando, entre outros parâmetros aplicáveis, a projeção da variação do IPCA – Índice Nacional de Preços ao Consumidor Amplo constante do Relatório Focus, divulgado pelo Banco Central do Brasil, disponível à época da elaboração da proposta orçamentária.</w:t>
      </w:r>
    </w:p>
    <w:p>
      <w:pPr>
        <w:pStyle w:val="Normal"/>
        <w:bidi w:val="0"/>
        <w:spacing w:lineRule="auto" w:line="276"/>
        <w:ind w:left="0" w:right="0" w:firstLine="1417"/>
        <w:jc w:val="both"/>
        <w:rPr/>
      </w:pPr>
      <w:r>
        <w:rPr/>
        <w:t xml:space="preserve">Parágrafo único. Para compatibilizar a execução orçamentária com os eventuais índices inflacionários registrados pelo Governo Federal durante o exercício financeiro de 2027, as dotações orçamentárias poderão ser atualizadas nas mesmas datas e percentuais com base na projeção da variação do IPCA – Índice Nacional de Preços ao Consumidor Amplo, constante do Relatório Focus divulgado pelo Banco Central do Brasil. </w:t>
      </w:r>
    </w:p>
    <w:p>
      <w:pPr>
        <w:pStyle w:val="Normal"/>
        <w:bidi w:val="0"/>
        <w:spacing w:lineRule="auto" w:line="276"/>
        <w:ind w:left="0" w:right="0" w:firstLine="1417"/>
        <w:jc w:val="both"/>
        <w:rPr/>
      </w:pPr>
      <w:r>
        <w:rPr>
          <w:b/>
          <w:bCs/>
        </w:rPr>
        <w:t>Art. 15.</w:t>
      </w:r>
      <w:r>
        <w:rPr/>
        <w:t xml:space="preserve"> As arrecadações de imposto de renda retido na fonte, rendimentos de aplicações financeiras e outras que venham a ingressar nos cofres públicos por intermédio do Legislativo, serão contabilizadas no Executivo como receita municipal e, concomitantemente, como adiantamento de repasse mensal no Executivo e no Legislativo.</w:t>
      </w:r>
    </w:p>
    <w:p>
      <w:pPr>
        <w:pStyle w:val="Normal"/>
        <w:bidi w:val="0"/>
        <w:spacing w:lineRule="auto" w:line="276"/>
        <w:ind w:left="0" w:right="0" w:firstLine="1417"/>
        <w:jc w:val="center"/>
        <w:rPr/>
      </w:pPr>
      <w:r>
        <w:rPr/>
        <w:br/>
        <w:t>Seção V</w:t>
        <w:br/>
        <w:t>Dos Créditos Adicionais</w:t>
      </w:r>
    </w:p>
    <w:p>
      <w:pPr>
        <w:pStyle w:val="Normal"/>
        <w:bidi w:val="0"/>
        <w:spacing w:lineRule="auto" w:line="276"/>
        <w:ind w:left="0" w:right="0" w:firstLine="1417"/>
        <w:jc w:val="both"/>
        <w:rPr/>
      </w:pPr>
      <w:r>
        <w:rPr>
          <w:b/>
          <w:bCs/>
        </w:rPr>
        <w:t>Art. 16.</w:t>
      </w:r>
      <w:r>
        <w:rPr/>
        <w:t xml:space="preserve"> No projeto de Lei Orçamentária constarão autorizações:</w:t>
      </w:r>
    </w:p>
    <w:p>
      <w:pPr>
        <w:pStyle w:val="Normal"/>
        <w:bidi w:val="0"/>
        <w:spacing w:lineRule="auto" w:line="276"/>
        <w:ind w:left="0" w:right="0" w:firstLine="1417"/>
        <w:jc w:val="both"/>
        <w:rPr/>
      </w:pPr>
      <w:r>
        <w:rPr/>
        <w:t>I - para abertura de créditos adicionais suplementares;</w:t>
      </w:r>
    </w:p>
    <w:p>
      <w:pPr>
        <w:pStyle w:val="Normal"/>
        <w:bidi w:val="0"/>
        <w:spacing w:lineRule="auto" w:line="276"/>
        <w:ind w:left="0" w:right="0" w:firstLine="1417"/>
        <w:jc w:val="both"/>
        <w:rPr/>
      </w:pPr>
      <w:r>
        <w:rPr/>
        <w:t xml:space="preserve">II - para a realização de operações de créditos com destinação específica e vinculada ao projeto, nos termos da legislação em vigor, em especial a Seção IV, Subseção I, da </w:t>
      </w:r>
      <w:r>
        <w:rPr>
          <w:color w:val="000000"/>
        </w:rPr>
        <w:t>Lei Complementar nº 101, de 4 de maio de 2000;</w:t>
      </w:r>
    </w:p>
    <w:p>
      <w:pPr>
        <w:pStyle w:val="Normal"/>
        <w:bidi w:val="0"/>
        <w:spacing w:lineRule="auto" w:line="276"/>
        <w:ind w:left="0" w:right="0" w:firstLine="1417"/>
        <w:jc w:val="both"/>
        <w:rPr/>
      </w:pPr>
      <w:r>
        <w:rPr/>
        <w:t xml:space="preserve">III - para realização de operação de crédito por antecipação da receita orçamentária nos limites e prazos estabelecidos pela legislação em vigor, em especial a Seção IV, Subseção III, da </w:t>
      </w:r>
      <w:r>
        <w:rPr>
          <w:color w:val="000000"/>
        </w:rPr>
        <w:t>Lei Complementar nº 101, de 4 de maio de 2000;</w:t>
      </w:r>
    </w:p>
    <w:p>
      <w:pPr>
        <w:pStyle w:val="Normal"/>
        <w:bidi w:val="0"/>
        <w:spacing w:lineRule="auto" w:line="276"/>
        <w:ind w:left="0" w:right="0" w:firstLine="1417"/>
        <w:jc w:val="both"/>
        <w:rPr/>
      </w:pPr>
      <w:r>
        <w:rPr>
          <w:color w:val="000000"/>
        </w:rPr>
        <w:t>IV – para abertura de créditos adicionais suplementares com recursos provenientes de superávit financeiro apurado em balanço patrimonial do exercício anterior, nos termos do art. 43, §1º, inciso I, da Lei Federal nº 4.320, de 17 de março de 1964, sem que tais créditos sejam computados no limite percentual fixado para a suplementação orçamentária, desde que comprovada a efetiva disponibilidade financeira.</w:t>
      </w:r>
    </w:p>
    <w:p>
      <w:pPr>
        <w:pStyle w:val="Normal"/>
        <w:bidi w:val="0"/>
        <w:spacing w:lineRule="auto" w:line="276"/>
        <w:ind w:left="0" w:right="0" w:firstLine="1417"/>
        <w:jc w:val="center"/>
        <w:rPr/>
      </w:pPr>
      <w:r>
        <w:rPr/>
        <w:br/>
        <w:t>Seção VI</w:t>
        <w:br/>
        <w:t>Da Transposição, Remanejamento e Transferência</w:t>
      </w:r>
    </w:p>
    <w:p>
      <w:pPr>
        <w:pStyle w:val="Normal"/>
        <w:bidi w:val="0"/>
        <w:spacing w:lineRule="auto" w:line="276"/>
        <w:ind w:left="0" w:right="0" w:firstLine="1417"/>
        <w:jc w:val="both"/>
        <w:rPr/>
      </w:pPr>
      <w:r>
        <w:rPr>
          <w:b/>
          <w:bCs/>
        </w:rPr>
        <w:t>Art. 17.</w:t>
      </w:r>
      <w:r>
        <w:rPr/>
        <w:t xml:space="preserve"> Fica o Poder Executivo, nos termos do inciso VI do art. 167, da Constituição Federal, mediante Decreto Executivo, autorizado a efetuar transposição, remanejamento e transferências de dotações orçamentárias.</w:t>
      </w:r>
    </w:p>
    <w:p>
      <w:pPr>
        <w:pStyle w:val="Normal"/>
        <w:bidi w:val="0"/>
        <w:spacing w:lineRule="auto" w:line="276"/>
        <w:ind w:left="0" w:right="0" w:firstLine="1417"/>
        <w:jc w:val="both"/>
        <w:rPr/>
      </w:pPr>
      <w:r>
        <w:rPr/>
        <w:t>§ 1º. A transposição, remanejamento e transferência são instrumentos de flexibilização orçamentária, diferenciando-se dos créditos adicionais que têm a função de corrigir o planejamento.</w:t>
      </w:r>
    </w:p>
    <w:p>
      <w:pPr>
        <w:pStyle w:val="Normal"/>
        <w:bidi w:val="0"/>
        <w:spacing w:lineRule="auto" w:line="276"/>
        <w:ind w:left="0" w:right="0" w:firstLine="1417"/>
        <w:jc w:val="both"/>
        <w:rPr/>
      </w:pPr>
      <w:r>
        <w:rPr/>
        <w:t>§ 2º. Para efeitos desta Lei entende-se como:</w:t>
      </w:r>
    </w:p>
    <w:p>
      <w:pPr>
        <w:pStyle w:val="Normal"/>
        <w:bidi w:val="0"/>
        <w:spacing w:lineRule="auto" w:line="276"/>
        <w:ind w:left="0" w:right="0" w:firstLine="1417"/>
        <w:jc w:val="both"/>
        <w:rPr/>
      </w:pPr>
      <w:r>
        <w:rPr/>
        <w:t>I - transposição: o deslocamento de excedentes de dotações orçamentárias de categorias de programação, até o nível de elemento, totalmente concluídas no exercício para outras incluídas como prioridade no exercício;</w:t>
      </w:r>
    </w:p>
    <w:p>
      <w:pPr>
        <w:pStyle w:val="Normal"/>
        <w:bidi w:val="0"/>
        <w:spacing w:lineRule="auto" w:line="276"/>
        <w:ind w:left="0" w:right="0" w:firstLine="1417"/>
        <w:jc w:val="both"/>
        <w:rPr/>
      </w:pPr>
      <w:r>
        <w:rPr/>
        <w:t>II - remanejamento: o deslocamento de créditos e dotações relativos à extinção, desdobramento ou incorporação de unidades orçamentárias à nova unidade ou, ainda, de créditos ou valores de dotações relativas a servidores em que haja alteração de lotação durante o exercício;</w:t>
      </w:r>
    </w:p>
    <w:p>
      <w:pPr>
        <w:pStyle w:val="Normal"/>
        <w:bidi w:val="0"/>
        <w:spacing w:lineRule="auto" w:line="276"/>
        <w:ind w:left="0" w:right="0" w:firstLine="1417"/>
        <w:jc w:val="both"/>
        <w:rPr/>
      </w:pPr>
      <w:r>
        <w:rPr/>
        <w:t>III - transferência: o deslocamento permitido de dotações atribuídas a créditos orçamentários de um mesmo programa de governo.</w:t>
      </w:r>
    </w:p>
    <w:p>
      <w:pPr>
        <w:pStyle w:val="Normal"/>
        <w:bidi w:val="0"/>
        <w:spacing w:lineRule="auto" w:line="276"/>
        <w:ind w:left="0" w:right="0" w:firstLine="1417"/>
        <w:jc w:val="center"/>
        <w:rPr/>
      </w:pPr>
      <w:r>
        <w:rPr/>
        <w:br/>
        <w:t>Seção VII</w:t>
        <w:br/>
        <w:t>Da Transferência de Recursos</w:t>
        <w:br/>
        <w:br/>
        <w:t>Subseção I</w:t>
        <w:br/>
        <w:t>Da Transferência de recursos para entidades privadas sem fins lucrativos</w:t>
      </w:r>
    </w:p>
    <w:p>
      <w:pPr>
        <w:pStyle w:val="Normal"/>
        <w:bidi w:val="0"/>
        <w:spacing w:lineRule="auto" w:line="276"/>
        <w:ind w:left="0" w:right="0" w:firstLine="1417"/>
        <w:jc w:val="both"/>
        <w:rPr/>
      </w:pPr>
      <w:r>
        <w:rPr>
          <w:b/>
          <w:bCs/>
        </w:rPr>
        <w:t>Art. 18</w:t>
      </w:r>
      <w:r>
        <w:rPr/>
        <w:t>. A Administração Municipal somente poderá transferir recursos a entidades privadas sem fins lucrativos, em conformidade com as legislações vigentes, observados os princípios da legalidade, impessoalidade, moralidade, publicidade, eficiência, transparência e prestação de contas.</w:t>
      </w:r>
    </w:p>
    <w:p>
      <w:pPr>
        <w:pStyle w:val="Normal"/>
        <w:bidi w:val="0"/>
        <w:spacing w:lineRule="auto" w:line="276"/>
        <w:ind w:left="0" w:right="0" w:firstLine="1417"/>
        <w:jc w:val="both"/>
        <w:rPr/>
      </w:pPr>
      <w:r>
        <w:rPr>
          <w:b/>
          <w:bCs/>
        </w:rPr>
        <w:t>Art. 19.</w:t>
      </w:r>
      <w:r>
        <w:rPr/>
        <w:t xml:space="preserve"> A liberação dos recursos de que trata o artigo 18 desta Lei, subordinar-se-á aos seguintes requisitos:</w:t>
      </w:r>
    </w:p>
    <w:p>
      <w:pPr>
        <w:pStyle w:val="Normal"/>
        <w:bidi w:val="0"/>
        <w:spacing w:lineRule="auto" w:line="276"/>
        <w:ind w:left="0" w:right="0" w:firstLine="1417"/>
        <w:jc w:val="both"/>
        <w:rPr/>
      </w:pPr>
      <w:r>
        <w:rPr/>
        <w:t>I – celebração do instrumento jurídico adequado à natureza da transferência, inclusive termo de colaboração, termo de fomento, convênio, ajuste ou instrumento congênere, conforme a legislação vigente aplicável;</w:t>
      </w:r>
    </w:p>
    <w:p>
      <w:pPr>
        <w:pStyle w:val="Normal"/>
        <w:bidi w:val="0"/>
        <w:spacing w:lineRule="auto" w:line="276"/>
        <w:ind w:left="0" w:right="0" w:firstLine="1417"/>
        <w:jc w:val="both"/>
        <w:rPr/>
      </w:pPr>
      <w:r>
        <w:rPr/>
        <w:t>II - existir plano de trabalho e de aplicação;</w:t>
      </w:r>
    </w:p>
    <w:p>
      <w:pPr>
        <w:pStyle w:val="Normal"/>
        <w:bidi w:val="0"/>
        <w:spacing w:lineRule="auto" w:line="276"/>
        <w:ind w:left="0" w:right="0" w:firstLine="1417"/>
        <w:jc w:val="both"/>
        <w:rPr/>
      </w:pPr>
      <w:r>
        <w:rPr/>
        <w:t>III - a atividade seja implementada no Município, ou no interesse dos munícipes;</w:t>
      </w:r>
    </w:p>
    <w:p>
      <w:pPr>
        <w:pStyle w:val="Normal"/>
        <w:bidi w:val="0"/>
        <w:spacing w:lineRule="auto" w:line="276"/>
        <w:ind w:left="0" w:right="0" w:firstLine="1417"/>
        <w:jc w:val="both"/>
        <w:rPr/>
      </w:pPr>
      <w:r>
        <w:rPr/>
        <w:t>IV - o ente não estiver em mora no repasse de recursos devidos, em atendimento a normas legais ou compromissos em vigor.</w:t>
      </w:r>
    </w:p>
    <w:p>
      <w:pPr>
        <w:pStyle w:val="Normal"/>
        <w:bidi w:val="0"/>
        <w:spacing w:lineRule="auto" w:line="276"/>
        <w:ind w:left="0" w:right="0" w:firstLine="1417"/>
        <w:jc w:val="both"/>
        <w:rPr/>
      </w:pPr>
      <w:r>
        <w:rPr/>
        <w:t>Parágrafo único. A celebração de instrumentos de que trata este artigo, para aplicação dos recursos orçamentários específicos destinados aos fins nele previstos, independe de lei específica ou de autorização legislativa.</w:t>
      </w:r>
    </w:p>
    <w:p>
      <w:pPr>
        <w:pStyle w:val="Normal"/>
        <w:bidi w:val="0"/>
        <w:spacing w:lineRule="auto" w:line="276"/>
        <w:ind w:left="0" w:right="0" w:firstLine="1417"/>
        <w:jc w:val="both"/>
        <w:rPr/>
      </w:pPr>
      <w:r>
        <w:rPr>
          <w:b/>
          <w:bCs/>
        </w:rPr>
        <w:t>Art. 20.</w:t>
      </w:r>
      <w:r>
        <w:rPr/>
        <w:t xml:space="preserve"> Fica autorizada a abertura de créditos adicionais suplementares, de dotações a título de subvenções sociais, contribuições e auxílios, às entidades privadas sem fins lucrativos, de atividades de natureza continuada, que se habilitem com os documentos em conformidade com a Lei Federal nº 13.019, de 31 de julho de 2014, suas alterações e regramentos municipais, e ainda, que preencham no mínimo uma das seguintes condições:</w:t>
      </w:r>
    </w:p>
    <w:p>
      <w:pPr>
        <w:pStyle w:val="Normal"/>
        <w:bidi w:val="0"/>
        <w:spacing w:lineRule="auto" w:line="276"/>
        <w:ind w:left="0" w:right="0" w:firstLine="1417"/>
        <w:jc w:val="both"/>
        <w:rPr/>
      </w:pPr>
      <w:r>
        <w:rPr/>
        <w:t>I - sejam de atendimento direto ao público, de forma gratuita, nas áreas de assistência social, saúde ou educação, com sede, serviços ou projetos, no município;</w:t>
      </w:r>
    </w:p>
    <w:p>
      <w:pPr>
        <w:pStyle w:val="Normal"/>
        <w:bidi w:val="0"/>
        <w:spacing w:lineRule="auto" w:line="276"/>
        <w:ind w:left="0" w:right="0" w:firstLine="1417"/>
        <w:jc w:val="both"/>
        <w:rPr/>
      </w:pPr>
      <w:r>
        <w:rPr/>
        <w:t>II - sejam vinculadas a organismos internacionais de natureza filantrópica, institucional ou assistencial;</w:t>
      </w:r>
    </w:p>
    <w:p>
      <w:pPr>
        <w:pStyle w:val="Normal"/>
        <w:bidi w:val="0"/>
        <w:spacing w:lineRule="auto" w:line="276"/>
        <w:ind w:left="0" w:right="0" w:firstLine="1417"/>
        <w:jc w:val="both"/>
        <w:rPr/>
      </w:pPr>
      <w:r>
        <w:rPr>
          <w:shd w:fill="FFFFFF" w:val="clear"/>
        </w:rPr>
        <w:t>III - atendam ao disposto no art. 204 da Constituição Federal, bem como na Lei Federal nº 8.742, de 7 de dezembro de 1993;</w:t>
      </w:r>
    </w:p>
    <w:p>
      <w:pPr>
        <w:pStyle w:val="Normal"/>
        <w:bidi w:val="0"/>
        <w:spacing w:lineRule="auto" w:line="276"/>
        <w:ind w:left="0" w:right="0" w:firstLine="1417"/>
        <w:jc w:val="both"/>
        <w:rPr/>
      </w:pPr>
      <w:r>
        <w:rPr/>
        <w:t>IV – que sejam de atendimento direto e gratuito ao público e voltadas para o ensino especial, ou representativas da comunidade escolar das escolas públicas estaduais e municipais do ensino fundamental;</w:t>
      </w:r>
    </w:p>
    <w:p>
      <w:pPr>
        <w:pStyle w:val="Normal"/>
        <w:bidi w:val="0"/>
        <w:spacing w:lineRule="auto" w:line="276"/>
        <w:ind w:left="0" w:right="0" w:firstLine="1417"/>
        <w:jc w:val="both"/>
        <w:rPr/>
      </w:pPr>
      <w:r>
        <w:rPr/>
        <w:t>V – que sejam voltadas para as ações de educação comunitária, de esportes e lazer, cultura, de saúde e de atendimento direto e gratuito ao público, prestadas por entidades sem fins lucrativos;</w:t>
      </w:r>
    </w:p>
    <w:p>
      <w:pPr>
        <w:pStyle w:val="Normal"/>
        <w:bidi w:val="0"/>
        <w:spacing w:lineRule="auto" w:line="276"/>
        <w:ind w:left="0" w:right="0" w:firstLine="1417"/>
        <w:jc w:val="both"/>
        <w:rPr/>
      </w:pPr>
      <w:r>
        <w:rPr/>
        <w:t>VI – que sejam signatárias de contrato de gestão com a administração pública municipal;</w:t>
      </w:r>
    </w:p>
    <w:p>
      <w:pPr>
        <w:pStyle w:val="Normal"/>
        <w:bidi w:val="0"/>
        <w:spacing w:lineRule="auto" w:line="276"/>
        <w:ind w:left="0" w:right="0" w:firstLine="1417"/>
        <w:jc w:val="both"/>
        <w:rPr/>
      </w:pPr>
      <w:r>
        <w:rPr/>
        <w:t>VII – que sejam qualificadas como Organização da Sociedade Civil de Interesse Público;</w:t>
      </w:r>
    </w:p>
    <w:p>
      <w:pPr>
        <w:pStyle w:val="Normal"/>
        <w:bidi w:val="0"/>
        <w:spacing w:lineRule="auto" w:line="276"/>
        <w:ind w:left="0" w:right="0" w:firstLine="1417"/>
        <w:jc w:val="both"/>
        <w:rPr/>
      </w:pPr>
      <w:r>
        <w:rPr/>
        <w:t>VIII – que estejam previstas nesta Lei em ação global por programa de Governo.</w:t>
      </w:r>
    </w:p>
    <w:p>
      <w:pPr>
        <w:pStyle w:val="Normal"/>
        <w:bidi w:val="0"/>
        <w:spacing w:lineRule="auto" w:line="276"/>
        <w:ind w:left="0" w:right="0" w:firstLine="1417"/>
        <w:jc w:val="both"/>
        <w:rPr/>
      </w:pPr>
      <w:r>
        <w:rPr/>
        <w:t>Parágrafo único. Sem prejuízo da observância das condições estabelecidas neste artigo, a inclusão de dotações na Lei Orçamentária e sua execução, dependerão, ainda, da regular aplicação dos recursos, devendo ocorrer a devolução dos valores no caso de desvio de finalidade.</w:t>
      </w:r>
    </w:p>
    <w:p>
      <w:pPr>
        <w:pStyle w:val="Normal"/>
        <w:bidi w:val="0"/>
        <w:spacing w:lineRule="auto" w:line="276"/>
        <w:ind w:left="0" w:right="0" w:firstLine="1417"/>
        <w:jc w:val="both"/>
        <w:rPr/>
      </w:pPr>
      <w:r>
        <w:rPr>
          <w:b/>
          <w:bCs/>
        </w:rPr>
        <w:t>Art. 21.</w:t>
      </w:r>
      <w:r>
        <w:rPr/>
        <w:t xml:space="preserve"> A destinação de recursos públicos ou benefícios a entidades privadas e a pessoas físicas, observará o disposto no art. 26 da Lei Complementar Federal nº 101, de 4 de maio de 2000, e na legislação específica aplicável, conforme a natureza do instrumento e do beneficiário.</w:t>
      </w:r>
    </w:p>
    <w:p>
      <w:pPr>
        <w:pStyle w:val="Normal"/>
        <w:bidi w:val="0"/>
        <w:spacing w:lineRule="auto" w:line="276"/>
        <w:ind w:left="0" w:right="0" w:firstLine="1417"/>
        <w:jc w:val="both"/>
        <w:rPr/>
      </w:pPr>
      <w:r>
        <w:rPr>
          <w:b/>
          <w:bCs/>
        </w:rPr>
        <w:t xml:space="preserve">Art. 22. </w:t>
      </w:r>
      <w:r>
        <w:rPr/>
        <w:t>O Poder Executivo Municipal não repassará recursos aos órgãos que, possuindo tesourarias e/ou contabilidades descentralizadas, tiverem pendências na prestação de contas.</w:t>
      </w:r>
    </w:p>
    <w:p>
      <w:pPr>
        <w:pStyle w:val="Normal"/>
        <w:bidi w:val="0"/>
        <w:spacing w:lineRule="auto" w:line="276"/>
        <w:ind w:left="0" w:right="0" w:firstLine="1417"/>
        <w:jc w:val="both"/>
        <w:rPr/>
      </w:pPr>
      <w:r>
        <w:rPr>
          <w:b/>
          <w:bCs/>
        </w:rPr>
        <w:t xml:space="preserve">Art. 23. </w:t>
      </w:r>
      <w:r>
        <w:rPr/>
        <w:t>Toda transferência de recursos públicos a entidades privadas fica sujeita à prestação de contas e avaliação de sua eficácia social pelo órgão responsável pela liberação.</w:t>
      </w:r>
    </w:p>
    <w:p>
      <w:pPr>
        <w:pStyle w:val="Normal"/>
        <w:bidi w:val="0"/>
        <w:spacing w:lineRule="auto" w:line="276"/>
        <w:ind w:left="0" w:right="0" w:firstLine="1417"/>
        <w:jc w:val="both"/>
        <w:rPr/>
      </w:pPr>
      <w:r>
        <w:rPr>
          <w:b/>
          <w:bCs/>
        </w:rPr>
        <w:t xml:space="preserve">Art. 24. </w:t>
      </w:r>
      <w:r>
        <w:rPr/>
        <w:t>Fica o Município autorizado a contribuir para o custeio de despesas de competência de outros entes da Federação, observado o disposto no art. 62 da Lei Complementar Federal nº 101, de 4 de maio de 2000, mediante convênio, acordo, ajuste ou instrumento congênere, na forma da legislação aplicável.</w:t>
      </w:r>
    </w:p>
    <w:p>
      <w:pPr>
        <w:pStyle w:val="Normal"/>
        <w:bidi w:val="0"/>
        <w:spacing w:lineRule="auto" w:line="276"/>
        <w:ind w:left="0" w:right="0" w:firstLine="1417"/>
        <w:jc w:val="center"/>
        <w:rPr/>
      </w:pPr>
      <w:r>
        <w:rPr/>
        <w:br/>
        <w:t>Subseção II</w:t>
        <w:br/>
        <w:t>Da Transferência de Recursos Para as Entidades da Administração Indireta</w:t>
      </w:r>
    </w:p>
    <w:p>
      <w:pPr>
        <w:pStyle w:val="Normal"/>
        <w:bidi w:val="0"/>
        <w:spacing w:lineRule="auto" w:line="276"/>
        <w:ind w:left="0" w:right="0" w:firstLine="1417"/>
        <w:jc w:val="both"/>
        <w:rPr/>
      </w:pPr>
      <w:r>
        <w:rPr>
          <w:b/>
          <w:bCs/>
        </w:rPr>
        <w:t>Art. 25.</w:t>
      </w:r>
      <w:r>
        <w:rPr/>
        <w:t xml:space="preserve"> O Município efetuará o repasse de recursos, conforme cronograma de desembolso mensal para o exercício, encaminhado em até 15 (quinze) dias da publicação da Lei Orçamentária de 2027.</w:t>
      </w:r>
    </w:p>
    <w:p>
      <w:pPr>
        <w:pStyle w:val="Normal"/>
        <w:bidi w:val="0"/>
        <w:spacing w:lineRule="auto" w:line="276"/>
        <w:ind w:left="0" w:right="0" w:firstLine="1417"/>
        <w:jc w:val="both"/>
        <w:rPr/>
      </w:pPr>
      <w:r>
        <w:rPr/>
        <w:t xml:space="preserve">Parágrafo único. Em caso de não elaboração do referido cronograma, os repasses se darão na forma de duodécimos mensais. </w:t>
      </w:r>
    </w:p>
    <w:p>
      <w:pPr>
        <w:pStyle w:val="Normal"/>
        <w:bidi w:val="0"/>
        <w:spacing w:lineRule="auto" w:line="276"/>
        <w:ind w:left="0" w:right="0" w:firstLine="1417"/>
        <w:jc w:val="both"/>
        <w:rPr/>
      </w:pPr>
      <w:r>
        <w:rPr>
          <w:b/>
          <w:bCs/>
        </w:rPr>
        <w:t>Art. 26.</w:t>
      </w:r>
      <w:r>
        <w:rPr/>
        <w:t xml:space="preserve"> As arrecadações de imposto de renda retido na fonte, rendimentos de aplicações financeiras e outras que venham a ingressar nos cofres públicos por intermédio das autarquias, serão contabilizadas no Executivo como receita municipal e, concomitantemente, como adiantamento de repasse mensal.</w:t>
      </w:r>
    </w:p>
    <w:p>
      <w:pPr>
        <w:pStyle w:val="Normal"/>
        <w:bidi w:val="0"/>
        <w:spacing w:lineRule="auto" w:line="276"/>
        <w:ind w:left="0" w:right="0" w:firstLine="1417"/>
        <w:jc w:val="both"/>
        <w:rPr/>
      </w:pPr>
      <w:r>
        <w:rPr>
          <w:b/>
          <w:bCs/>
        </w:rPr>
        <w:t>Art. 27.</w:t>
      </w:r>
      <w:r>
        <w:rPr/>
        <w:t xml:space="preserve"> As entidades da administração indireta deverão enviar até o dia 8 (oito) de cada mês, a sua movimentação orçamentária, financeira e patrimonial do mês anterior para fins de consolidação contábil do Município, em arquivo compatível com o sistema de informática do Executivo.</w:t>
      </w:r>
    </w:p>
    <w:p>
      <w:pPr>
        <w:pStyle w:val="Normal"/>
        <w:bidi w:val="0"/>
        <w:spacing w:lineRule="auto" w:line="276"/>
        <w:ind w:left="0" w:right="0" w:firstLine="1417"/>
        <w:jc w:val="both"/>
        <w:rPr/>
      </w:pPr>
      <w:r>
        <w:rPr/>
        <w:t>Parágrafo único. As entidades da administração indireta deverão encaminhar até a data acima estabelecida os balancetes orçamentários e contábeis para verificação, independentemente da forma de importação dos movimentos, se diária ou mensal, para atendimento do Decreto Federal 10.540, de 5 de novembro de 2020 que dispõe sobre o padrão mínimo de qualidade do Sistema Único e Integrado de Execução Orçamentária, Administração Financeira e Controle (SIAFIC).</w:t>
      </w:r>
    </w:p>
    <w:p>
      <w:pPr>
        <w:pStyle w:val="Normal"/>
        <w:bidi w:val="0"/>
        <w:spacing w:lineRule="auto" w:line="276"/>
        <w:ind w:left="0" w:right="0" w:firstLine="1417"/>
        <w:jc w:val="center"/>
        <w:rPr/>
      </w:pPr>
      <w:r>
        <w:rPr/>
        <w:br/>
        <w:t>Subseção III</w:t>
        <w:br/>
        <w:t>Das Transferências às Pessoas Físicas e Jurídicas</w:t>
      </w:r>
    </w:p>
    <w:p>
      <w:pPr>
        <w:pStyle w:val="Normal"/>
        <w:bidi w:val="0"/>
        <w:spacing w:lineRule="auto" w:line="276"/>
        <w:ind w:left="0" w:right="0" w:firstLine="1417"/>
        <w:jc w:val="both"/>
        <w:rPr/>
      </w:pPr>
      <w:r>
        <w:rPr>
          <w:b/>
          <w:bCs/>
        </w:rPr>
        <w:t>Art. 28.</w:t>
      </w:r>
      <w:r>
        <w:rPr/>
        <w:t xml:space="preserve"> Fica o Poder Executivo Municipal autorizado a atender necessidades de pessoas físicas, nas áreas de assistência social, saúde, educação, cultura esporte e lazer em conformidade com o interesse público, explicitamente comprovada a necessidade e com aprovação dos seus respectivos conselhos, mediante critérios objetivos previamente definidos em regulamento e observada a disponibilidade orçamentária.</w:t>
      </w:r>
    </w:p>
    <w:p>
      <w:pPr>
        <w:pStyle w:val="Normal"/>
        <w:bidi w:val="0"/>
        <w:spacing w:lineRule="auto" w:line="276"/>
        <w:ind w:left="0" w:right="0" w:firstLine="1417"/>
        <w:jc w:val="both"/>
        <w:rPr/>
      </w:pPr>
      <w:r>
        <w:rPr>
          <w:b/>
          <w:bCs/>
        </w:rPr>
        <w:t>Art. 29.</w:t>
      </w:r>
      <w:r>
        <w:rPr/>
        <w:t xml:space="preserve"> Fica autorizada a inclusão de dotações orçamentárias na Lei Orçamentária para a operação de custeio do Transporte Coletivo Urbano de passageiros, nos termos da legislação.</w:t>
      </w:r>
    </w:p>
    <w:p>
      <w:pPr>
        <w:pStyle w:val="Normal"/>
        <w:bidi w:val="0"/>
        <w:spacing w:lineRule="auto" w:line="276"/>
        <w:ind w:left="0" w:right="0" w:firstLine="1417"/>
        <w:jc w:val="both"/>
        <w:rPr/>
      </w:pPr>
      <w:r>
        <w:rPr>
          <w:b/>
          <w:bCs/>
        </w:rPr>
        <w:t>Art. 30.</w:t>
      </w:r>
      <w:r>
        <w:rPr/>
        <w:t xml:space="preserve"> A previsão de recursos orçamentários para custeio de despesa de competência de outros entes integrantes da federação somente será admitida para as áreas de segurança pública, justiça eleitoral, fiscalização sanitária, tributária, de meio ambiente, social, educação, alistamento militar, esporte, lazer ou a execução de projetos específicos de desenvolvimento econômico-social.</w:t>
      </w:r>
    </w:p>
    <w:p>
      <w:pPr>
        <w:pStyle w:val="Normal"/>
        <w:bidi w:val="0"/>
        <w:spacing w:lineRule="auto" w:line="276"/>
        <w:ind w:left="0" w:right="0" w:firstLine="1417"/>
        <w:jc w:val="center"/>
        <w:rPr/>
      </w:pPr>
      <w:r>
        <w:rPr/>
        <w:br/>
        <w:t>Seção VIII</w:t>
        <w:br/>
        <w:t>Das Normas Relativas ao Controle de Custos e Avaliação Dos Resultados Dos Programas Financiados Com Recursos do Orçamento</w:t>
      </w:r>
    </w:p>
    <w:p>
      <w:pPr>
        <w:pStyle w:val="Normal"/>
        <w:bidi w:val="0"/>
        <w:spacing w:lineRule="auto" w:line="276"/>
        <w:ind w:left="0" w:right="0" w:firstLine="1417"/>
        <w:jc w:val="both"/>
        <w:rPr/>
      </w:pPr>
      <w:r>
        <w:rPr>
          <w:b/>
          <w:bCs/>
        </w:rPr>
        <w:t xml:space="preserve">Art. 31. </w:t>
      </w:r>
      <w:r>
        <w:rPr/>
        <w:t xml:space="preserve">O controle de custos e a avaliação de resultados dos programas constantes do orçamento municipal, serão demonstrados através de normas de controles internos instituídos pelo Poder Executivo Municipal, de acordo com </w:t>
      </w:r>
      <w:r>
        <w:rPr>
          <w:shd w:fill="FFFFFF" w:val="clear"/>
        </w:rPr>
        <w:t xml:space="preserve">a alínea "e" do inciso I do artigo 4º da </w:t>
      </w:r>
      <w:r>
        <w:rPr>
          <w:color w:val="000000"/>
          <w:shd w:fill="FFFFFF" w:val="clear"/>
        </w:rPr>
        <w:t>Lei Complementar nº 101, de 4 de maio de 2000</w:t>
      </w:r>
      <w:r>
        <w:rPr>
          <w:shd w:fill="FFFFFF" w:val="clear"/>
        </w:rPr>
        <w:t xml:space="preserve">, que vigerão </w:t>
      </w:r>
      <w:r>
        <w:rPr/>
        <w:t>para todos os Órgãos da Administração Direta e Indireta do Município e do Poder Legislativo conforme o caput do artigo 31 da Constituição Federal.</w:t>
      </w:r>
    </w:p>
    <w:p>
      <w:pPr>
        <w:pStyle w:val="Normal"/>
        <w:bidi w:val="0"/>
        <w:spacing w:lineRule="auto" w:line="276"/>
        <w:ind w:left="0" w:right="0" w:firstLine="1417"/>
        <w:jc w:val="both"/>
        <w:rPr/>
      </w:pPr>
      <w:r>
        <w:rPr/>
        <w:t>§ 1º. A avaliação dos resultados dos programas de governo, consistirá em análise da realização das metas, de forma que permita à administração e à fiscalização externa, concluir sobre a eficiência das ações governamentais e a qualidade do gasto público.</w:t>
      </w:r>
    </w:p>
    <w:p>
      <w:pPr>
        <w:pStyle w:val="Normal"/>
        <w:bidi w:val="0"/>
        <w:spacing w:lineRule="auto" w:line="276"/>
        <w:ind w:left="0" w:right="0" w:firstLine="1417"/>
        <w:jc w:val="both"/>
        <w:rPr/>
      </w:pPr>
      <w:r>
        <w:rPr/>
        <w:t xml:space="preserve">§ 2º. As secretarias e órgãos encaminharão a avaliação dos Programas após o encerramento do exercício, com a finalidade de serem publicadas no site da Prefeitura Municipal, em atendimento a </w:t>
      </w:r>
      <w:r>
        <w:rPr>
          <w:shd w:fill="FFFFFF" w:val="clear"/>
        </w:rPr>
        <w:t>Lei Federal nº 12.527, de 18 de novembro de 2011, e ao § 1º do art. 1º da Lei Complementar nº 178 de 13 de janeiro de 2021.</w:t>
      </w:r>
    </w:p>
    <w:p>
      <w:pPr>
        <w:pStyle w:val="Normal"/>
        <w:bidi w:val="0"/>
        <w:spacing w:lineRule="auto" w:line="276"/>
        <w:ind w:left="0" w:right="0" w:firstLine="1417"/>
        <w:jc w:val="center"/>
        <w:rPr/>
      </w:pPr>
      <w:r>
        <w:rPr/>
        <w:br/>
      </w:r>
      <w:r>
        <w:rPr>
          <w:b/>
          <w:bCs/>
        </w:rPr>
        <w:t>CAPÍTULO IV</w:t>
      </w:r>
      <w:r>
        <w:rPr/>
        <w:br/>
      </w:r>
      <w:r>
        <w:rPr>
          <w:b/>
          <w:bCs/>
        </w:rPr>
        <w:t>DAS DISPOSIÇÕES RELATIVAS ÀS DESPESAS DO MUNICÍPIO COM PESSOAL E ENCARGOS SOCIAIS</w:t>
      </w:r>
    </w:p>
    <w:p>
      <w:pPr>
        <w:pStyle w:val="Normal"/>
        <w:bidi w:val="0"/>
        <w:spacing w:lineRule="auto" w:line="276"/>
        <w:ind w:left="0" w:right="0" w:firstLine="1417"/>
        <w:jc w:val="both"/>
        <w:rPr/>
      </w:pPr>
      <w:r>
        <w:rPr>
          <w:b/>
          <w:bCs/>
        </w:rPr>
        <w:t>Art. 32.</w:t>
      </w:r>
      <w:r>
        <w:rPr/>
        <w:t xml:space="preserve"> Para fins do disposto no § 1º do art. 169 da Constituição Federal, ficam os Poderes Executivo e Legislativo e as Autarquias autorizados, observada a legislação aplicável e desde que atendidos os limites estabelecidos na Lei Complementar Federal nº 101, de 4 de maio de 2000, a:</w:t>
      </w:r>
    </w:p>
    <w:p>
      <w:pPr>
        <w:pStyle w:val="Normal"/>
        <w:bidi w:val="0"/>
        <w:spacing w:lineRule="auto" w:line="276"/>
        <w:ind w:left="0" w:right="0" w:firstLine="1417"/>
        <w:jc w:val="both"/>
        <w:rPr/>
      </w:pPr>
      <w:r>
        <w:rPr/>
        <w:t>I – criar cargos, empregos e funções e alterar estruturas de carreiras;</w:t>
      </w:r>
    </w:p>
    <w:p>
      <w:pPr>
        <w:pStyle w:val="Normal"/>
        <w:bidi w:val="0"/>
        <w:spacing w:lineRule="auto" w:line="276"/>
        <w:ind w:left="0" w:right="0" w:firstLine="1417"/>
        <w:jc w:val="both"/>
        <w:rPr/>
      </w:pPr>
      <w:r>
        <w:rPr/>
        <w:t>II – prover cargos efetivos mediante concurso público e cargos em comissão previstos em lei;</w:t>
      </w:r>
    </w:p>
    <w:p>
      <w:pPr>
        <w:pStyle w:val="Normal"/>
        <w:bidi w:val="0"/>
        <w:spacing w:lineRule="auto" w:line="276"/>
        <w:ind w:left="0" w:right="0" w:firstLine="1417"/>
        <w:jc w:val="both"/>
        <w:rPr/>
      </w:pPr>
      <w:r>
        <w:rPr/>
        <w:t>III – admitir ou contratar pessoal, a qualquer título, nos casos legalmente admitidos;</w:t>
      </w:r>
    </w:p>
    <w:p>
      <w:pPr>
        <w:pStyle w:val="Normal"/>
        <w:bidi w:val="0"/>
        <w:spacing w:lineRule="auto" w:line="276"/>
        <w:ind w:left="0" w:right="0" w:firstLine="1417"/>
        <w:jc w:val="both"/>
        <w:rPr/>
      </w:pPr>
      <w:r>
        <w:rPr/>
        <w:t>IV – conceder vantagens, aumentos, reajustes ou adequações de remuneração, mediante legislação específica, quando exigida.</w:t>
      </w:r>
    </w:p>
    <w:p>
      <w:pPr>
        <w:pStyle w:val="Normal"/>
        <w:bidi w:val="0"/>
        <w:spacing w:lineRule="auto" w:line="276"/>
        <w:ind w:left="0" w:right="0" w:firstLine="1417"/>
        <w:jc w:val="both"/>
        <w:rPr/>
      </w:pPr>
      <w:r>
        <w:rPr/>
        <w:t>V – proceder à revisão geral anual da remuneração dos servidores públicos municipais, observados o inciso X do art. 37 e o art. 169 da Constituição Federal, a Lei Complementar Federal nº 101, de 4 de maio de 2000, e a legislação aplicável.</w:t>
      </w:r>
    </w:p>
    <w:p>
      <w:pPr>
        <w:pStyle w:val="Normal"/>
        <w:bidi w:val="0"/>
        <w:spacing w:lineRule="auto" w:line="276"/>
        <w:ind w:left="0" w:right="0" w:firstLine="1417"/>
        <w:jc w:val="both"/>
        <w:rPr/>
      </w:pPr>
      <w:r>
        <w:rPr>
          <w:b/>
          <w:bCs/>
          <w:color w:val="000000"/>
        </w:rPr>
        <w:t>Art. 33.</w:t>
      </w:r>
      <w:r>
        <w:rPr>
          <w:color w:val="000000"/>
        </w:rPr>
        <w:t xml:space="preserve"> A criação de cargos, empregos ou funções, a alteração de estruturas de carreiras, a admissão ou contratação de pessoal, a concessão de vantagens e o aumento de remuneração somente poderão ocorrer se houver prévia e suficiente dotação orçamentária para atender às projeções de despesa de pessoal e aos acréscimos dela decorrentes, observados o art. 169 da Constituição Federal e, quando aplicáveis, os arts. 16, 17 e 18 a 23 da Lei Complementar Federal nº 101, de 4 de maio de 2000. </w:t>
      </w:r>
    </w:p>
    <w:p>
      <w:pPr>
        <w:pStyle w:val="Normal"/>
        <w:bidi w:val="0"/>
        <w:spacing w:lineRule="auto" w:line="276"/>
        <w:ind w:left="0" w:right="0" w:firstLine="1417"/>
        <w:jc w:val="both"/>
        <w:rPr/>
      </w:pPr>
      <w:r>
        <w:rPr/>
        <w:t>Parágrafo único. A Administração Municipal poderá, no decorrer do exercício de 2027, rever sua estrutura administrativa e o Plano de Carreira dos Servidores, adequando-os às suas finalidades específicas.</w:t>
      </w:r>
    </w:p>
    <w:p>
      <w:pPr>
        <w:pStyle w:val="Normal"/>
        <w:bidi w:val="0"/>
        <w:spacing w:lineRule="auto" w:line="276"/>
        <w:ind w:left="0" w:right="0" w:firstLine="1417"/>
        <w:jc w:val="both"/>
        <w:rPr/>
      </w:pPr>
      <w:r>
        <w:rPr>
          <w:b/>
          <w:bCs/>
          <w:shd w:fill="FFFFFF" w:val="clear"/>
        </w:rPr>
        <w:t>Art. 34.</w:t>
      </w:r>
      <w:r>
        <w:rPr>
          <w:shd w:fill="FFFFFF" w:val="clear"/>
        </w:rPr>
        <w:t xml:space="preserve"> As despesas com pessoal, elencadas no artigo 18 da </w:t>
      </w:r>
      <w:r>
        <w:rPr>
          <w:color w:val="000000"/>
          <w:shd w:fill="FFFFFF" w:val="clear"/>
        </w:rPr>
        <w:t>Lei Complementar nº 101, de 4 de maio de 2000</w:t>
      </w:r>
      <w:r>
        <w:rPr>
          <w:shd w:fill="FFFFFF" w:val="clear"/>
        </w:rPr>
        <w:t>, não poderão exceder ao limite previsto nas alíneas “a” e “b” do inciso III do artigo 20 do mesmo diploma legal.</w:t>
      </w:r>
    </w:p>
    <w:p>
      <w:pPr>
        <w:pStyle w:val="Normal"/>
        <w:bidi w:val="0"/>
        <w:spacing w:lineRule="auto" w:line="276"/>
        <w:ind w:left="0" w:right="0" w:firstLine="1417"/>
        <w:jc w:val="both"/>
        <w:rPr/>
      </w:pPr>
      <w:r>
        <w:rPr>
          <w:b/>
          <w:bCs/>
        </w:rPr>
        <w:t>Art. 35.</w:t>
      </w:r>
      <w:r>
        <w:rPr/>
        <w:t xml:space="preserve"> É considerado objetivo da Administração Municipal o desenvolvimento de programas visando:</w:t>
      </w:r>
    </w:p>
    <w:p>
      <w:pPr>
        <w:pStyle w:val="Normal"/>
        <w:bidi w:val="0"/>
        <w:spacing w:lineRule="auto" w:line="276"/>
        <w:ind w:left="0" w:right="0" w:firstLine="1417"/>
        <w:jc w:val="both"/>
        <w:rPr/>
      </w:pPr>
      <w:r>
        <w:rPr/>
        <w:t>I - proporcionar o desenvolvimento pessoal dos servidores através de programas informativos, educativos e culturais;</w:t>
      </w:r>
    </w:p>
    <w:p>
      <w:pPr>
        <w:pStyle w:val="Normal"/>
        <w:bidi w:val="0"/>
        <w:spacing w:lineRule="auto" w:line="276"/>
        <w:ind w:left="0" w:right="0" w:firstLine="1417"/>
        <w:jc w:val="both"/>
        <w:rPr/>
      </w:pPr>
      <w:r>
        <w:rPr/>
        <w:t>II - melhorar as condições de trabalho, especialmente no que concerne à saúde, alimentação e segurança;</w:t>
      </w:r>
    </w:p>
    <w:p>
      <w:pPr>
        <w:pStyle w:val="Normal"/>
        <w:bidi w:val="0"/>
        <w:spacing w:lineRule="auto" w:line="276"/>
        <w:ind w:left="0" w:right="0" w:firstLine="1417"/>
        <w:jc w:val="both"/>
        <w:rPr/>
      </w:pPr>
      <w:r>
        <w:rPr/>
        <w:t>III - capacitar os servidores para melhor desempenho de funções específicas;</w:t>
      </w:r>
    </w:p>
    <w:p>
      <w:pPr>
        <w:pStyle w:val="Normal"/>
        <w:bidi w:val="0"/>
        <w:spacing w:lineRule="auto" w:line="276"/>
        <w:ind w:left="0" w:right="0" w:firstLine="1417"/>
        <w:jc w:val="both"/>
        <w:rPr/>
      </w:pPr>
      <w:r>
        <w:rPr/>
        <w:t>IV - racionalizar os recursos materiais e humanos visando diminuir os custos e aumentar a produtividade e eficiência no atendimento dos serviços municipais;</w:t>
      </w:r>
    </w:p>
    <w:p>
      <w:pPr>
        <w:pStyle w:val="Normal"/>
        <w:bidi w:val="0"/>
        <w:spacing w:lineRule="auto" w:line="276"/>
        <w:ind w:left="0" w:right="0" w:firstLine="1417"/>
        <w:jc w:val="both"/>
        <w:rPr/>
      </w:pPr>
      <w:r>
        <w:rPr/>
        <w:t>V – promover a capacitação e o aperfeiçoamento dos servidores que atuam na administração fazendária municipal, visando à adequação às alterações decorrentes da Reforma Tributária e aos seus impactos nas atividades tributárias, orçamentárias, contábeis, financeiras, de arrecadação, fiscalização e gestão fiscal.</w:t>
      </w:r>
    </w:p>
    <w:p>
      <w:pPr>
        <w:pStyle w:val="Normal"/>
        <w:bidi w:val="0"/>
        <w:spacing w:lineRule="auto" w:line="276"/>
        <w:ind w:left="0" w:right="0" w:firstLine="1417"/>
        <w:jc w:val="center"/>
        <w:rPr/>
      </w:pPr>
      <w:r>
        <w:rPr/>
        <w:br/>
      </w:r>
      <w:r>
        <w:rPr>
          <w:b/>
          <w:bCs/>
        </w:rPr>
        <w:t>CAPÍTULO V</w:t>
      </w:r>
      <w:r>
        <w:rPr/>
        <w:br/>
      </w:r>
      <w:r>
        <w:rPr>
          <w:b/>
          <w:bCs/>
        </w:rPr>
        <w:t>DAS DISPOSIÇÕES SOBRE ALTERAÇÕES NA LEGISLAÇÃO TRIBUTÁRIA E DA RENUNCIA DE RECEITA DO MUNICÍPIO</w:t>
      </w:r>
    </w:p>
    <w:p>
      <w:pPr>
        <w:pStyle w:val="Normal"/>
        <w:bidi w:val="0"/>
        <w:spacing w:lineRule="auto" w:line="276"/>
        <w:ind w:left="0" w:right="0" w:firstLine="1417"/>
        <w:jc w:val="both"/>
        <w:rPr/>
      </w:pPr>
      <w:r>
        <w:rPr>
          <w:b/>
          <w:bCs/>
        </w:rPr>
        <w:t>Art. 36.</w:t>
      </w:r>
      <w:r>
        <w:rPr/>
        <w:t xml:space="preserve"> Na estimativa das receitas serão considerados os efeitos das alterações na legislação tributária, especificamente sobre:</w:t>
      </w:r>
    </w:p>
    <w:p>
      <w:pPr>
        <w:pStyle w:val="Normal"/>
        <w:bidi w:val="0"/>
        <w:spacing w:lineRule="auto" w:line="276"/>
        <w:ind w:left="0" w:right="0" w:firstLine="1417"/>
        <w:jc w:val="both"/>
        <w:rPr/>
      </w:pPr>
      <w:r>
        <w:rPr/>
        <w:t>I - Consolidação da legislação vigente que regula cada tributo de competência do Município;</w:t>
      </w:r>
    </w:p>
    <w:p>
      <w:pPr>
        <w:pStyle w:val="Normal"/>
        <w:bidi w:val="0"/>
        <w:spacing w:lineRule="auto" w:line="276"/>
        <w:ind w:left="0" w:right="0" w:firstLine="1417"/>
        <w:jc w:val="both"/>
        <w:rPr/>
      </w:pPr>
      <w:r>
        <w:rPr/>
        <w:t>II - Adequação da legislação tributária municipal às eventuais modificações da legislação federal;</w:t>
      </w:r>
    </w:p>
    <w:p>
      <w:pPr>
        <w:pStyle w:val="Normal"/>
        <w:bidi w:val="0"/>
        <w:spacing w:lineRule="auto" w:line="276"/>
        <w:ind w:left="0" w:right="0" w:firstLine="1417"/>
        <w:jc w:val="both"/>
        <w:rPr/>
      </w:pPr>
      <w:r>
        <w:rPr/>
        <w:t>III - Revisão dos índices já existentes que são indexadores de tributos, tarifas, multas e criação de novos índices;</w:t>
      </w:r>
    </w:p>
    <w:p>
      <w:pPr>
        <w:pStyle w:val="Normal"/>
        <w:bidi w:val="0"/>
        <w:spacing w:lineRule="auto" w:line="276"/>
        <w:ind w:left="0" w:right="0" w:firstLine="1417"/>
        <w:jc w:val="both"/>
        <w:rPr/>
      </w:pPr>
      <w:r>
        <w:rPr/>
        <w:t xml:space="preserve">IV - isenções e incentivos fiscais, que deverão ser acompanhadas de estimativa de impacto financeiro, demonstrando as medidas compensatórias, na forma prevista no artigo 14 da </w:t>
      </w:r>
      <w:r>
        <w:rPr>
          <w:color w:val="000000"/>
        </w:rPr>
        <w:t>Lei Complementar nº 101, de 4 de maio de 2000.</w:t>
      </w:r>
    </w:p>
    <w:p>
      <w:pPr>
        <w:pStyle w:val="Normal"/>
        <w:bidi w:val="0"/>
        <w:spacing w:lineRule="auto" w:line="276"/>
        <w:ind w:left="0" w:right="0" w:firstLine="1417"/>
        <w:jc w:val="both"/>
        <w:rPr/>
      </w:pPr>
      <w:r>
        <w:rPr>
          <w:b/>
          <w:bCs/>
        </w:rPr>
        <w:t>Art. 37.</w:t>
      </w:r>
      <w:r>
        <w:rPr/>
        <w:t xml:space="preserve"> O Poder Executivo poderá encaminhar ao Poder Legislativo Projetos de Leis propondo alterações na legislação no que dispõe sobre tributos municipais, se necessárias à preservação do equilíbrio das contas públicas, à consecução da justiça fiscal, à eficiência e modernização dos sistemas de arrecadação, bem como ao cancelamento de débitos cujo montante seja inferior aos respectivos custos de cobranças.</w:t>
      </w:r>
    </w:p>
    <w:p>
      <w:pPr>
        <w:pStyle w:val="Normal"/>
        <w:bidi w:val="0"/>
        <w:spacing w:lineRule="auto" w:line="276"/>
        <w:ind w:left="0" w:right="0" w:firstLine="1417"/>
        <w:jc w:val="both"/>
        <w:rPr/>
      </w:pPr>
      <w:r>
        <w:rPr/>
        <w:t>Parágrafo único. Ocorrendo alterações na legislação tributária em vigor, decorrentes de lei aprovada até o término deste exercício, que impliquem acréscimo em relação à estimativa de receita constante do Projeto de Lei Orçamentária, fica o Poder Executivo autorizado a proceder os devidos ajustes na execução orçamentária.</w:t>
      </w:r>
    </w:p>
    <w:p>
      <w:pPr>
        <w:pStyle w:val="Normal"/>
        <w:bidi w:val="0"/>
        <w:spacing w:lineRule="auto" w:line="276"/>
        <w:ind w:left="0" w:right="0" w:firstLine="1417"/>
        <w:jc w:val="both"/>
        <w:rPr/>
      </w:pPr>
      <w:r>
        <w:rPr>
          <w:b/>
          <w:bCs/>
        </w:rPr>
        <w:t xml:space="preserve">Art. 38. </w:t>
      </w:r>
      <w:r>
        <w:rPr/>
        <w:t>O Poder Executivo priorizará, no exercício de 2027, medidas destinadas ao aperfeiçoamento da administração tributária municipal, visando:</w:t>
      </w:r>
    </w:p>
    <w:p>
      <w:pPr>
        <w:pStyle w:val="Normal"/>
        <w:bidi w:val="0"/>
        <w:spacing w:lineRule="auto" w:line="276"/>
        <w:ind w:left="0" w:right="0" w:firstLine="1417"/>
        <w:jc w:val="both"/>
        <w:rPr/>
      </w:pPr>
      <w:r>
        <w:rPr/>
        <w:t>I - Prevenir e combater a evasão, a sonegação e a elisão fiscal ilícita desenvolvendo ações permanentes nos contribuintes com indícios de omissão de receitas ou inconsistências cadastrais.</w:t>
      </w:r>
    </w:p>
    <w:p>
      <w:pPr>
        <w:pStyle w:val="Normal"/>
        <w:bidi w:val="0"/>
        <w:spacing w:lineRule="auto" w:line="276"/>
        <w:ind w:left="0" w:right="0" w:firstLine="1417"/>
        <w:jc w:val="both"/>
        <w:rPr/>
      </w:pPr>
      <w:r>
        <w:rPr/>
        <w:t xml:space="preserve">II - ampliar a fiscalização tributária mediante utilização de tecnologias de informação e cruzamento de bases de dados; </w:t>
      </w:r>
    </w:p>
    <w:p>
      <w:pPr>
        <w:pStyle w:val="Normal"/>
        <w:bidi w:val="0"/>
        <w:spacing w:lineRule="auto" w:line="276"/>
        <w:ind w:left="0" w:right="0" w:firstLine="1417"/>
        <w:jc w:val="both"/>
        <w:rPr/>
      </w:pPr>
      <w:r>
        <w:rPr/>
        <w:t xml:space="preserve">III - ampliar o uso de ferramentas de inteligência artificial para modernização dos sistemas de gestão de processos, arrecadação e fiscalização; </w:t>
      </w:r>
    </w:p>
    <w:p>
      <w:pPr>
        <w:pStyle w:val="Normal"/>
        <w:bidi w:val="0"/>
        <w:spacing w:lineRule="auto" w:line="276"/>
        <w:ind w:left="0" w:right="0" w:firstLine="1417"/>
        <w:jc w:val="both"/>
        <w:rPr/>
      </w:pPr>
      <w:r>
        <w:rPr/>
        <w:t>IV - ampliar a utilização de meios eletrônicos para constituição do crédito tributário, notificações, intimações, cobranças administrativas e demais atos fiscais;</w:t>
      </w:r>
    </w:p>
    <w:p>
      <w:pPr>
        <w:pStyle w:val="Normal"/>
        <w:bidi w:val="0"/>
        <w:spacing w:lineRule="auto" w:line="276"/>
        <w:ind w:left="0" w:right="0" w:firstLine="1417"/>
        <w:jc w:val="both"/>
        <w:rPr/>
      </w:pPr>
      <w:r>
        <w:rPr/>
        <w:t>V - implementar a gestão de riscos fiscais, institucionalizando a fiscalização de contribuintes com maior potencial de recuperação de créditos e maior relevância econômica;</w:t>
      </w:r>
    </w:p>
    <w:p>
      <w:pPr>
        <w:pStyle w:val="Normal"/>
        <w:bidi w:val="0"/>
        <w:spacing w:lineRule="auto" w:line="276"/>
        <w:ind w:left="0" w:right="0" w:firstLine="1417"/>
        <w:jc w:val="both"/>
        <w:rPr/>
      </w:pPr>
      <w:r>
        <w:rPr/>
        <w:t>VI - promover a atualização permanente do cadastro mobiliário e imobiliário do Município utilizando o intercâmbio de informações com os demais entes federativos, observado o sigilo fiscal e a legislação aplicável;</w:t>
      </w:r>
    </w:p>
    <w:p>
      <w:pPr>
        <w:pStyle w:val="Normal"/>
        <w:bidi w:val="0"/>
        <w:spacing w:lineRule="auto" w:line="276"/>
        <w:ind w:left="0" w:right="0" w:firstLine="1417"/>
        <w:jc w:val="both"/>
        <w:rPr/>
      </w:pPr>
      <w:r>
        <w:rPr/>
        <w:t>VII - promover operações fiscais integradas com órgãos estaduais, federais e demais instituições públicas para prevenção e repressão às fraudes tributárias;</w:t>
      </w:r>
    </w:p>
    <w:p>
      <w:pPr>
        <w:pStyle w:val="Normal"/>
        <w:bidi w:val="0"/>
        <w:spacing w:lineRule="auto" w:line="276"/>
        <w:ind w:left="0" w:right="0" w:firstLine="1417"/>
        <w:jc w:val="both"/>
        <w:rPr/>
      </w:pPr>
      <w:r>
        <w:rPr/>
        <w:t>VIII - incentivar o cumprimento espontâneo das obrigações tributárias, promovendo auto regularização mediante programas de comunicação preventiva e orientação aos contribuintes;</w:t>
      </w:r>
    </w:p>
    <w:p>
      <w:pPr>
        <w:pStyle w:val="Normal"/>
        <w:bidi w:val="0"/>
        <w:spacing w:lineRule="auto" w:line="276"/>
        <w:ind w:left="0" w:right="0" w:firstLine="1417"/>
        <w:jc w:val="both"/>
        <w:rPr/>
      </w:pPr>
      <w:r>
        <w:rPr/>
        <w:t>IX - ampliar o monitoramento da inadimplência tributária, aperfeiçoando os mecanismos de cobrança administrativa, recuperação de créditos tributários e gestão da dívida ativa estabelecendo ações específicas para recuperação de créditos de maior valor e com risco de prescrição;</w:t>
      </w:r>
    </w:p>
    <w:p>
      <w:pPr>
        <w:pStyle w:val="Normal"/>
        <w:bidi w:val="0"/>
        <w:spacing w:lineRule="auto" w:line="276"/>
        <w:ind w:left="0" w:right="0" w:firstLine="1417"/>
        <w:jc w:val="both"/>
        <w:rPr/>
      </w:pPr>
      <w:r>
        <w:rPr/>
        <w:t xml:space="preserve">X - aperfeiçoar os mecanismos de controle, acompanhamento e avaliação dos resultados das ações de fiscalização, arrecadação e recuperação de créditos tributários; </w:t>
      </w:r>
    </w:p>
    <w:p>
      <w:pPr>
        <w:pStyle w:val="Normal"/>
        <w:bidi w:val="0"/>
        <w:spacing w:lineRule="auto" w:line="276"/>
        <w:ind w:left="0" w:right="0" w:firstLine="1417"/>
        <w:jc w:val="both"/>
        <w:rPr/>
      </w:pPr>
      <w:r>
        <w:rPr/>
        <w:t>XI - ampliar as ações de educação fiscal, cidadania tributária e transparência das informações fiscais.</w:t>
      </w:r>
    </w:p>
    <w:p>
      <w:pPr>
        <w:pStyle w:val="Normal"/>
        <w:bidi w:val="0"/>
        <w:spacing w:lineRule="auto" w:line="276"/>
        <w:ind w:left="0" w:right="0" w:firstLine="1417"/>
        <w:jc w:val="both"/>
        <w:rPr/>
      </w:pPr>
      <w:r>
        <w:rPr>
          <w:b/>
          <w:bCs/>
        </w:rPr>
        <w:t xml:space="preserve">Art. 39. </w:t>
      </w:r>
      <w:r>
        <w:rPr/>
        <w:t>Na política de administração tributária do Município ficam definidas as seguintes diretrizes para 2027:</w:t>
      </w:r>
    </w:p>
    <w:p>
      <w:pPr>
        <w:pStyle w:val="Normal"/>
        <w:bidi w:val="0"/>
        <w:spacing w:lineRule="auto" w:line="276"/>
        <w:ind w:left="0" w:right="0" w:firstLine="1417"/>
        <w:jc w:val="both"/>
        <w:rPr/>
      </w:pPr>
      <w:r>
        <w:rPr/>
        <w:t>I - atualização nas arrecadações do Imposto sobre a Propriedade Predial e Territorial Urbana (IPTU) e da Taxa de Coleta de Lixo (TCLI), decorrente de ação fiscal, que verifica áreas construídas não informadas no cadastro imobiliário e constitui o crédito tributário por meio de lançamento complementar, segundo a variação estabelecida pelo IPCA - Índice Nacional de Preços ao Consumidor Amplo constante do Relatório Focus, divulgado pelo Banco Central do Brasil ou outro indexador que venha substituí-lo.</w:t>
      </w:r>
    </w:p>
    <w:p>
      <w:pPr>
        <w:pStyle w:val="Normal"/>
        <w:bidi w:val="0"/>
        <w:spacing w:lineRule="auto" w:line="276"/>
        <w:ind w:left="0" w:right="0" w:firstLine="1417"/>
        <w:jc w:val="both"/>
        <w:rPr/>
      </w:pPr>
      <w:r>
        <w:rPr/>
        <w:t>II - medidas para compensação de transferências que reduzem receitas do Município através de legislações federais e/ou estaduais;</w:t>
      </w:r>
    </w:p>
    <w:p>
      <w:pPr>
        <w:pStyle w:val="Normal"/>
        <w:bidi w:val="0"/>
        <w:spacing w:lineRule="auto" w:line="276"/>
        <w:ind w:left="0" w:right="0" w:firstLine="1417"/>
        <w:jc w:val="both"/>
        <w:rPr/>
      </w:pPr>
      <w:r>
        <w:rPr/>
        <w:t>III - elaboração de Estudos e Legislação objetivando implantar políticas de incentivo fiscal para segmentos econômicos;</w:t>
      </w:r>
    </w:p>
    <w:p>
      <w:pPr>
        <w:pStyle w:val="Normal"/>
        <w:bidi w:val="0"/>
        <w:spacing w:lineRule="auto" w:line="276"/>
        <w:ind w:left="0" w:right="0" w:firstLine="1417"/>
        <w:jc w:val="both"/>
        <w:rPr/>
      </w:pPr>
      <w:r>
        <w:rPr/>
        <w:t>IV - revisão dos benefícios e incentivos fiscais existentes, bem como alteração na legislação tributária acessória.</w:t>
      </w:r>
    </w:p>
    <w:p>
      <w:pPr>
        <w:pStyle w:val="Normal"/>
        <w:bidi w:val="0"/>
        <w:spacing w:lineRule="auto" w:line="276"/>
        <w:ind w:left="0" w:right="0" w:firstLine="1417"/>
        <w:jc w:val="both"/>
        <w:rPr/>
      </w:pPr>
      <w:r>
        <w:rPr/>
        <w:t>V - adequação da legislação tributária municipal às eventuais alterações do sistema tributário nacional;</w:t>
      </w:r>
    </w:p>
    <w:p>
      <w:pPr>
        <w:pStyle w:val="Normal"/>
        <w:bidi w:val="0"/>
        <w:spacing w:lineRule="auto" w:line="276"/>
        <w:ind w:left="0" w:right="0" w:firstLine="1417"/>
        <w:jc w:val="both"/>
        <w:rPr/>
      </w:pPr>
      <w:r>
        <w:rPr/>
        <w:t>VI - revisão e adequação das taxas de serviços públicos, observados os custos dos respectivos serviços e os critérios estabelecidos na legislação tributária.</w:t>
      </w:r>
    </w:p>
    <w:p>
      <w:pPr>
        <w:pStyle w:val="Normal"/>
        <w:bidi w:val="0"/>
        <w:spacing w:lineRule="auto" w:line="276"/>
        <w:ind w:left="0" w:right="0" w:firstLine="1417"/>
        <w:jc w:val="both"/>
        <w:rPr/>
      </w:pPr>
      <w:r>
        <w:rPr/>
        <w:t>Parágrafo único. Caso as alterações propostas não sejam aprovadas, ou o sejam parcialmente, de forma a não permitir a integralização dos recursos esperados, serão adequadas à previsão da receita e dotações orçamentárias de forma a restabelecer o equilíbrio orçamentário.</w:t>
      </w:r>
    </w:p>
    <w:p>
      <w:pPr>
        <w:pStyle w:val="Normal"/>
        <w:bidi w:val="0"/>
        <w:spacing w:lineRule="auto" w:line="276"/>
        <w:ind w:left="0" w:right="0" w:firstLine="1417"/>
        <w:jc w:val="both"/>
        <w:rPr/>
      </w:pPr>
      <w:r>
        <w:rPr>
          <w:b/>
          <w:bCs/>
        </w:rPr>
        <w:t>Art. 40.</w:t>
      </w:r>
      <w:r>
        <w:rPr/>
        <w:t xml:space="preserve"> As proposições legislativas que concedam anistia, remissão, subsídio, crédito presumido, isenção em caráter não geral, de alteração de alíquota ou de modificação de base de cálculo que impliquem redução discriminada de tributos ou contribuições, e outros benefícios que correspondam a tratamento diferenciado, deverão atender ao disposto no art. 14 da Lei Complementar Federal nº 101, de 2000 e suas alterações, devendo ser instruídos com demonstrativo evidenciando que não serão afetadas as metas de resultado nominal e primário.</w:t>
      </w:r>
    </w:p>
    <w:p>
      <w:pPr>
        <w:pStyle w:val="Normal"/>
        <w:bidi w:val="0"/>
        <w:spacing w:lineRule="auto" w:line="276"/>
        <w:ind w:left="0" w:right="0" w:firstLine="1417"/>
        <w:jc w:val="center"/>
        <w:rPr/>
      </w:pPr>
      <w:r>
        <w:rPr/>
        <w:br/>
      </w:r>
      <w:r>
        <w:rPr>
          <w:b/>
          <w:bCs/>
        </w:rPr>
        <w:t>CAPÍTULO VI</w:t>
      </w:r>
      <w:r>
        <w:rPr/>
        <w:br/>
      </w:r>
      <w:r>
        <w:rPr>
          <w:b/>
          <w:bCs/>
        </w:rPr>
        <w:t>DAS DISPOSIÇÕES GERAIS</w:t>
      </w:r>
    </w:p>
    <w:p>
      <w:pPr>
        <w:pStyle w:val="Normal"/>
        <w:bidi w:val="0"/>
        <w:spacing w:lineRule="auto" w:line="276"/>
        <w:ind w:left="0" w:right="0" w:firstLine="1417"/>
        <w:jc w:val="both"/>
        <w:rPr/>
      </w:pPr>
      <w:r>
        <w:rPr>
          <w:b/>
          <w:bCs/>
        </w:rPr>
        <w:t>Art. 41.</w:t>
      </w:r>
      <w:r>
        <w:rPr/>
        <w:t xml:space="preserve"> O Poder Executivo Municipal poderá firmar convênios com outros entes de governo para desenvolvimento de programas prioritários nas áreas de educação, cultura, saúde, assistência social, habitação, saneamento, agricultura, esporte, lazer e outras de relevante interesse público, com ou sem ônus para o Município, inclusive com contrapartida.</w:t>
      </w:r>
    </w:p>
    <w:p>
      <w:pPr>
        <w:pStyle w:val="Normal"/>
        <w:bidi w:val="0"/>
        <w:spacing w:lineRule="auto" w:line="276"/>
        <w:ind w:left="0" w:right="0" w:firstLine="1417"/>
        <w:jc w:val="both"/>
        <w:rPr/>
      </w:pPr>
      <w:r>
        <w:rPr>
          <w:b/>
          <w:bCs/>
        </w:rPr>
        <w:t xml:space="preserve">Art. 42. </w:t>
      </w:r>
      <w:r>
        <w:rPr/>
        <w:t xml:space="preserve">O Poder Executivo Municipal colocará à disposição do Poder Legislativo Municipal, no mínimo 30 (trinta) dias antes do prazo final da elaboração da proposta orçamentária, os estudos e as estimativas da receita, inclusive da receita corrente líquida e as respectivas memórias de cálculo do exercício anterior, para que, nos termos do inciso VI, artigo 29 e o artigo 29-A, ambos da Constituição Federal e do § 3º do artigo 12 da </w:t>
      </w:r>
      <w:r>
        <w:rPr>
          <w:color w:val="000000"/>
        </w:rPr>
        <w:t>Lei Complementar nº 101, de 4 de maio de 2000.</w:t>
      </w:r>
      <w:r>
        <w:rPr/>
        <w:t>, possa encaminhar sua proposta orçamentária.</w:t>
      </w:r>
    </w:p>
    <w:p>
      <w:pPr>
        <w:pStyle w:val="Normal"/>
        <w:bidi w:val="0"/>
        <w:spacing w:lineRule="auto" w:line="276"/>
        <w:ind w:left="0" w:right="0" w:firstLine="1417"/>
        <w:jc w:val="both"/>
        <w:rPr/>
      </w:pPr>
      <w:r>
        <w:rPr>
          <w:b/>
          <w:bCs/>
        </w:rPr>
        <w:t>Art. 43.</w:t>
      </w:r>
      <w:r>
        <w:rPr/>
        <w:t xml:space="preserve"> Para fins de cumprimento do art. 62 da </w:t>
      </w:r>
      <w:r>
        <w:rPr>
          <w:color w:val="000000"/>
        </w:rPr>
        <w:t>Lei Complementar nº 101, de 4 de maio de 2000</w:t>
      </w:r>
      <w:r>
        <w:rPr/>
        <w:t>, fica o Município autorizado a firmar convênio ou congêneres, com a União ou o Estado, com vistas:</w:t>
      </w:r>
    </w:p>
    <w:p>
      <w:pPr>
        <w:pStyle w:val="Normal"/>
        <w:bidi w:val="0"/>
        <w:spacing w:lineRule="auto" w:line="276"/>
        <w:ind w:left="0" w:right="0" w:firstLine="1417"/>
        <w:jc w:val="both"/>
        <w:rPr/>
      </w:pPr>
      <w:r>
        <w:rPr/>
        <w:t>I - apoio a segurança pública do município;</w:t>
      </w:r>
    </w:p>
    <w:p>
      <w:pPr>
        <w:pStyle w:val="Normal"/>
        <w:bidi w:val="0"/>
        <w:spacing w:lineRule="auto" w:line="276"/>
        <w:ind w:left="0" w:right="0" w:firstLine="1417"/>
        <w:jc w:val="both"/>
        <w:rPr/>
      </w:pPr>
      <w:r>
        <w:rPr/>
        <w:t>II - a possibilitar o assessoramento técnico aos produtores rurais do Município;</w:t>
      </w:r>
    </w:p>
    <w:p>
      <w:pPr>
        <w:pStyle w:val="Normal"/>
        <w:bidi w:val="0"/>
        <w:spacing w:lineRule="auto" w:line="276"/>
        <w:ind w:left="0" w:right="0" w:firstLine="1417"/>
        <w:jc w:val="both"/>
        <w:rPr/>
      </w:pPr>
      <w:r>
        <w:rPr/>
        <w:t>III – a propiciar a utilização conjunta, no Município, de máquinas e equipamentos de propriedade do Estado ou União;</w:t>
      </w:r>
    </w:p>
    <w:p>
      <w:pPr>
        <w:pStyle w:val="Normal"/>
        <w:bidi w:val="0"/>
        <w:spacing w:lineRule="auto" w:line="276"/>
        <w:ind w:left="0" w:right="0" w:firstLine="1417"/>
        <w:jc w:val="both"/>
        <w:rPr/>
      </w:pPr>
      <w:r>
        <w:rPr/>
        <w:t>IV - a cedência de servidores para o funcionamento de cartórios eleitorais;</w:t>
      </w:r>
    </w:p>
    <w:p>
      <w:pPr>
        <w:pStyle w:val="Normal"/>
        <w:bidi w:val="0"/>
        <w:spacing w:lineRule="auto" w:line="276"/>
        <w:ind w:left="0" w:right="0" w:firstLine="1417"/>
        <w:jc w:val="both"/>
        <w:rPr/>
      </w:pPr>
      <w:r>
        <w:rPr/>
        <w:t>V - a possibilitar o cruzamento de informações com: INSS, Receita Federal do Brasil, Receita Estadual, Tabelionatos, Cartório de Registro de Imóveis, de Registro de Nascimentos e Óbitos com vistas à troca de informações de atividades e contribuintes;</w:t>
      </w:r>
    </w:p>
    <w:p>
      <w:pPr>
        <w:pStyle w:val="Normal"/>
        <w:bidi w:val="0"/>
        <w:spacing w:lineRule="auto" w:line="276"/>
        <w:ind w:left="0" w:right="0" w:firstLine="1417"/>
        <w:jc w:val="both"/>
        <w:rPr/>
      </w:pPr>
      <w:r>
        <w:rPr/>
        <w:t>VI - a participação em programas de incentivo à emissão de notas fiscais e combate à sonegação;</w:t>
      </w:r>
    </w:p>
    <w:p>
      <w:pPr>
        <w:pStyle w:val="Normal"/>
        <w:bidi w:val="0"/>
        <w:spacing w:lineRule="auto" w:line="276"/>
        <w:ind w:left="0" w:right="0" w:firstLine="1417"/>
        <w:jc w:val="both"/>
        <w:rPr/>
      </w:pPr>
      <w:r>
        <w:rPr/>
        <w:t>VII - na área social, com finalidades específicas de Saúde, Educação ou Assistência Social;</w:t>
      </w:r>
    </w:p>
    <w:p>
      <w:pPr>
        <w:pStyle w:val="Normal"/>
        <w:bidi w:val="0"/>
        <w:spacing w:lineRule="auto" w:line="276"/>
        <w:ind w:left="0" w:right="0" w:firstLine="1417"/>
        <w:jc w:val="both"/>
        <w:rPr/>
      </w:pPr>
      <w:r>
        <w:rPr/>
        <w:t>VIII – a viabilizar programas de desenvolvimento econômico local e regional.</w:t>
      </w:r>
    </w:p>
    <w:p>
      <w:pPr>
        <w:pStyle w:val="Normal"/>
        <w:bidi w:val="0"/>
        <w:spacing w:lineRule="auto" w:line="276"/>
        <w:ind w:left="0" w:right="0" w:firstLine="1417"/>
        <w:jc w:val="both"/>
        <w:rPr/>
      </w:pPr>
      <w:r>
        <w:rPr>
          <w:b/>
          <w:bCs/>
        </w:rPr>
        <w:t xml:space="preserve">Art. 44. </w:t>
      </w:r>
      <w:r>
        <w:rPr/>
        <w:t xml:space="preserve">Para efeito do disposto no art. 42, da </w:t>
      </w:r>
      <w:r>
        <w:rPr>
          <w:color w:val="000000"/>
        </w:rPr>
        <w:t>Lei Complementar nº 101, de 4 de maio de 2000</w:t>
      </w:r>
      <w:r>
        <w:rPr/>
        <w:t>, considera-se contraída a obrigação no momento da formalização do contrato administrativo ou de instrumento congênere.</w:t>
      </w:r>
    </w:p>
    <w:p>
      <w:pPr>
        <w:pStyle w:val="Normal"/>
        <w:bidi w:val="0"/>
        <w:spacing w:lineRule="auto" w:line="276"/>
        <w:ind w:left="0" w:right="0" w:firstLine="1417"/>
        <w:jc w:val="both"/>
        <w:rPr/>
      </w:pPr>
      <w:r>
        <w:rPr/>
        <w:t>Parágrafo único. No caso de despesas relativas à prestação de serviços já existentes e destinados à manutenção da Administração Pública Municipal, consideram-se como compromissadas apenas as prestações cujo pagamento deva se verificar no exercício financeiro, observado o cronograma pactuado.</w:t>
      </w:r>
    </w:p>
    <w:p>
      <w:pPr>
        <w:pStyle w:val="Normal"/>
        <w:bidi w:val="0"/>
        <w:spacing w:lineRule="auto" w:line="276"/>
        <w:ind w:left="0" w:right="0" w:firstLine="1417"/>
        <w:jc w:val="both"/>
        <w:rPr/>
      </w:pPr>
      <w:r>
        <w:rPr>
          <w:b/>
          <w:bCs/>
        </w:rPr>
        <w:t>Art. 45.</w:t>
      </w:r>
      <w:r>
        <w:rPr/>
        <w:t xml:space="preserve"> Fica o Poder Executivo autorizado a promover a atualização dos anexos referentes: aos Resultados Nominal e Primário, Demonstrativo da Estimativa e Compensação da Renúncia da Receita, Margem de Expansão das Despesas Obrigatória de Caráter continuado e o Anexo de Riscos Fiscais e Providências, quando da elaboração da Lei Orçamentária Anual para 2027, observadas as estimativas definitivas de receita e despesa. </w:t>
      </w:r>
    </w:p>
    <w:p>
      <w:pPr>
        <w:pStyle w:val="Normal"/>
        <w:bidi w:val="0"/>
        <w:spacing w:lineRule="auto" w:line="276"/>
        <w:ind w:left="0" w:right="0" w:firstLine="1417"/>
        <w:jc w:val="both"/>
        <w:rPr/>
      </w:pPr>
      <w:r>
        <w:rPr>
          <w:b/>
          <w:bCs/>
        </w:rPr>
        <w:t>Art. 46</w:t>
      </w:r>
      <w:r>
        <w:rPr/>
        <w:t>. Nos casos de emergência ou de calamidade pública, quando caracterizada urgência de atendimento de situação que possa ocasionar prejuízo ou comprometer a continuidade dos serviços públicos ou a segurança de pessoas, obras, serviços, equipamentos e outros bens, públicos ou particulares, e somente para aquisição dos bens necessários ao atendimento da situação emergencial ou calamitosa e para as parcelas de obras e serviços que possam ser concluídas no prazo máximo de 1 (um) ano, contado da data de ocorrência da emergência ou da calamidade, vedadas a prorrogação dos respectivos contratos e a recontratação de empresa já contratada com fundamento na contratação emergencial.</w:t>
      </w:r>
    </w:p>
    <w:p>
      <w:pPr>
        <w:pStyle w:val="Normal"/>
        <w:bidi w:val="0"/>
        <w:spacing w:lineRule="auto" w:line="276"/>
        <w:ind w:left="0" w:right="0" w:firstLine="1417"/>
        <w:jc w:val="both"/>
        <w:rPr/>
      </w:pPr>
      <w:r>
        <w:rPr>
          <w:b/>
          <w:bCs/>
        </w:rPr>
        <w:t xml:space="preserve">Art. 47. </w:t>
      </w:r>
      <w:r>
        <w:rPr/>
        <w:t xml:space="preserve">Após 31 de dezembro de 2026, em não ocorrendo a sanção da Lei Orçamentária Anual (LOA), ficam os Poderes Legislativo e Executivo, inclusive suas </w:t>
      </w:r>
      <w:r>
        <w:rPr>
          <w:color w:val="000000"/>
        </w:rPr>
        <w:t xml:space="preserve">Autarquias e Fundações </w:t>
      </w:r>
      <w:r>
        <w:rPr/>
        <w:t>autorizados a executarem despesas até o limite de 1/12 avos a cada mês, do total da despesa orçada, até a sua publicação.</w:t>
      </w:r>
    </w:p>
    <w:p>
      <w:pPr>
        <w:pStyle w:val="Normal"/>
        <w:bidi w:val="0"/>
        <w:spacing w:lineRule="auto" w:line="276"/>
        <w:ind w:left="0" w:right="0" w:firstLine="1417"/>
        <w:jc w:val="both"/>
        <w:rPr/>
      </w:pPr>
      <w:r>
        <w:rPr>
          <w:b/>
          <w:bCs/>
          <w:color w:val="000000"/>
        </w:rPr>
        <w:t>Art. 48.</w:t>
      </w:r>
      <w:r>
        <w:rPr>
          <w:color w:val="000000"/>
        </w:rPr>
        <w:t xml:space="preserve"> Para fins do disposto no art. 44 da Lei Complementar Federal nº 101, de 4 de maio de 2000, as receitas de capital provenientes da alienação de bens e direitos do Município poderão ser destinadas, mediante lei, ao Regime Próprio de Previdência Social dos Servidores Públicos Municipais, para o equacionamento do déficit atuarial, mediante contribuições suplementares ou aportes previstos no respectivo plano de amortização, observada a legislação previdenciária aplicável.</w:t>
      </w:r>
    </w:p>
    <w:p>
      <w:pPr>
        <w:pStyle w:val="Normal"/>
        <w:bidi w:val="0"/>
        <w:spacing w:lineRule="auto" w:line="276"/>
        <w:ind w:left="0" w:right="0" w:firstLine="1417"/>
        <w:jc w:val="both"/>
        <w:rPr/>
      </w:pPr>
      <w:r>
        <w:rPr>
          <w:b/>
          <w:bCs/>
        </w:rPr>
        <w:t>Art. 49.</w:t>
      </w:r>
      <w:r>
        <w:rPr/>
        <w:t xml:space="preserve"> Esta Lei entra em vigor na data da sua publicação.</w:t>
      </w:r>
    </w:p>
    <w:p>
      <w:pPr>
        <w:pStyle w:val="Normal"/>
        <w:bidi w:val="0"/>
        <w:spacing w:lineRule="auto" w:line="276"/>
        <w:ind w:left="0" w:right="0" w:firstLine="1417"/>
        <w:jc w:val="both"/>
        <w:rPr/>
      </w:pPr>
      <w:r>
        <w:rPr>
          <w:color w:val="000000"/>
          <w:shd w:fill="FFFFFF" w:val="clear"/>
        </w:rPr>
        <w:t>GABINETE DO PREFEITO MUNICIPAL DE NOVO HAMBURGO, aos ___ (_________) dias do mês de _____ de 2026.</w:t>
      </w:r>
    </w:p>
    <w:p>
      <w:pPr>
        <w:pStyle w:val="Normal"/>
        <w:bidi w:val="0"/>
        <w:spacing w:lineRule="auto" w:line="276"/>
        <w:ind w:left="0" w:right="0" w:firstLine="1417"/>
        <w:jc w:val="center"/>
        <w:rPr/>
      </w:pPr>
      <w:r>
        <w:rPr/>
        <w:br/>
      </w:r>
      <w:r>
        <w:rPr>
          <w:color w:val="000000"/>
          <w:shd w:fill="FFFFFF" w:val="clear"/>
        </w:rPr>
        <w:t>GUSTAVO DIOGO FINCK</w:t>
      </w:r>
      <w:r>
        <w:rPr/>
        <w:br/>
      </w:r>
      <w:r>
        <w:rPr>
          <w:color w:val="000000"/>
          <w:shd w:fill="FFFFFF" w:val="clear"/>
        </w:rPr>
        <w:t>Prefeito</w:t>
      </w:r>
    </w:p>
    <w:p>
      <w:pPr>
        <w:pStyle w:val="Normal"/>
        <w:bidi w:val="0"/>
        <w:spacing w:lineRule="auto" w:line="276"/>
        <w:ind w:left="0" w:right="0" w:firstLine="1417"/>
        <w:jc w:val="both"/>
        <w:rPr/>
      </w:pPr>
      <w:r>
        <w:rPr>
          <w:color w:val="000000"/>
          <w:shd w:fill="FFFFFF" w:val="clear"/>
        </w:rPr>
        <w:t>Publique-se e registre-se.</w:t>
      </w:r>
    </w:p>
    <w:p>
      <w:pPr>
        <w:pStyle w:val="Normal"/>
        <w:bidi w:val="0"/>
        <w:spacing w:lineRule="auto" w:line="276"/>
        <w:ind w:left="0" w:right="0" w:firstLine="1417"/>
        <w:jc w:val="center"/>
        <w:rPr/>
      </w:pPr>
      <w:r>
        <w:rPr/>
        <w:br/>
        <w:t>DAIANA DE LEONÇO MONZON</w:t>
        <w:br/>
      </w:r>
      <w:r>
        <w:rPr>
          <w:color w:val="000000"/>
          <w:shd w:fill="FFFFFF" w:val="clear"/>
        </w:rPr>
        <w:t>Secretária Municipal de Gestão, Governança e Desburocratização Interina</w:t>
      </w:r>
    </w:p>
    <w:p>
      <w:pPr>
        <w:pStyle w:val="Normal"/>
        <w:bidi w:val="0"/>
        <w:spacing w:lineRule="auto" w:line="276"/>
        <w:jc w:val="left"/>
        <w:rPr/>
      </w:pPr>
      <w:r>
        <w:rPr/>
        <w:t xml:space="preserve"> </w:t>
      </w:r>
    </w:p>
    <w:p>
      <w:pPr>
        <w:pStyle w:val="Normal"/>
        <w:bidi w:val="0"/>
        <w:spacing w:lineRule="auto" w:line="276" w:before="0" w:after="360"/>
        <w:jc w:val="left"/>
        <w:rPr/>
      </w:pPr>
      <w:r>
        <w:rPr/>
        <w:t xml:space="preserve"> </w:t>
      </w:r>
    </w:p>
    <w:sectPr>
      <w:headerReference w:type="even" r:id="rId4"/>
      <w:headerReference w:type="default" r:id="rId5"/>
      <w:headerReference w:type="first" r:id="rId6"/>
      <w:footerReference w:type="even" r:id="rId7"/>
      <w:footerReference w:type="default" r:id="rId8"/>
      <w:footerReference w:type="first" r:id="rId9"/>
      <w:type w:val="nextPage"/>
      <w:pgSz w:w="11906" w:h="16838"/>
      <w:pgMar w:left="1698" w:right="849" w:gutter="0" w:header="215" w:top="1440" w:footer="379"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odap"/>
      <w:bidi w:val="0"/>
      <w:spacing w:before="0" w:after="360"/>
      <w:jc w:val="lef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spacing w:before="0" w:after="360"/>
      <w:jc w:val="left"/>
      <w:rPr/>
    </w:pPr>
    <w:r>
      <w:rPr/>
      <w:drawing>
        <wp:inline distT="0" distB="0" distL="0" distR="0">
          <wp:extent cx="5925185" cy="478155"/>
          <wp:effectExtent l="0" t="0" r="0" b="0"/>
          <wp:docPr id="3" name="Figura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4" descr=""/>
                  <pic:cNvPicPr>
                    <a:picLocks noChangeAspect="1" noChangeArrowheads="1"/>
                  </pic:cNvPicPr>
                </pic:nvPicPr>
                <pic:blipFill>
                  <a:blip r:embed="rId1"/>
                  <a:stretch>
                    <a:fillRect/>
                  </a:stretch>
                </pic:blipFill>
                <pic:spPr bwMode="auto">
                  <a:xfrm>
                    <a:off x="0" y="0"/>
                    <a:ext cx="5925185" cy="478155"/>
                  </a:xfrm>
                  <a:prstGeom prst="rect">
                    <a:avLst/>
                  </a:prstGeom>
                </pic:spPr>
              </pic:pic>
            </a:graphicData>
          </a:graphic>
        </wp:inline>
      </w:drawing>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spacing w:before="0" w:after="360"/>
      <w:jc w:val="left"/>
      <w:rPr/>
    </w:pPr>
    <w:r>
      <w:rPr/>
      <w:drawing>
        <wp:inline distT="0" distB="0" distL="0" distR="0">
          <wp:extent cx="5925185" cy="478155"/>
          <wp:effectExtent l="0" t="0" r="0" b="0"/>
          <wp:docPr id="4" name="Figura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4" descr=""/>
                  <pic:cNvPicPr>
                    <a:picLocks noChangeAspect="1" noChangeArrowheads="1"/>
                  </pic:cNvPicPr>
                </pic:nvPicPr>
                <pic:blipFill>
                  <a:blip r:embed="rId1"/>
                  <a:stretch>
                    <a:fillRect/>
                  </a:stretch>
                </pic:blipFill>
                <pic:spPr bwMode="auto">
                  <a:xfrm>
                    <a:off x="0" y="0"/>
                    <a:ext cx="5925185" cy="478155"/>
                  </a:xfrm>
                  <a:prstGeom prst="rect">
                    <a:avLst/>
                  </a:prstGeom>
                </pic:spPr>
              </pic:pic>
            </a:graphicData>
          </a:graphic>
        </wp:inline>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alho"/>
      <w:bidi w:val="0"/>
      <w:spacing w:before="0" w:after="360"/>
      <w:jc w:val="lef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spacing w:before="0" w:after="360"/>
      <w:jc w:val="left"/>
      <w:rPr/>
    </w:pPr>
    <w:r>
      <w:rPr/>
      <w:drawing>
        <wp:inline distT="0" distB="0" distL="0" distR="0">
          <wp:extent cx="5925185" cy="561340"/>
          <wp:effectExtent l="0" t="0" r="0" b="0"/>
          <wp:docPr id="1"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descr=""/>
                  <pic:cNvPicPr>
                    <a:picLocks noChangeAspect="1" noChangeArrowheads="1"/>
                  </pic:cNvPicPr>
                </pic:nvPicPr>
                <pic:blipFill>
                  <a:blip r:embed="rId1"/>
                  <a:stretch>
                    <a:fillRect/>
                  </a:stretch>
                </pic:blipFill>
                <pic:spPr bwMode="auto">
                  <a:xfrm>
                    <a:off x="0" y="0"/>
                    <a:ext cx="5925185" cy="561340"/>
                  </a:xfrm>
                  <a:prstGeom prst="rect">
                    <a:avLst/>
                  </a:prstGeom>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spacing w:before="0" w:after="360"/>
      <w:jc w:val="left"/>
      <w:rPr/>
    </w:pPr>
    <w:r>
      <w:rPr/>
      <w:drawing>
        <wp:inline distT="0" distB="0" distL="0" distR="0">
          <wp:extent cx="5925185" cy="561340"/>
          <wp:effectExtent l="0" t="0" r="0" b="0"/>
          <wp:docPr id="2"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1" descr=""/>
                  <pic:cNvPicPr>
                    <a:picLocks noChangeAspect="1" noChangeArrowheads="1"/>
                  </pic:cNvPicPr>
                </pic:nvPicPr>
                <pic:blipFill>
                  <a:blip r:embed="rId1"/>
                  <a:stretch>
                    <a:fillRect/>
                  </a:stretch>
                </pic:blipFill>
                <pic:spPr bwMode="auto">
                  <a:xfrm>
                    <a:off x="0" y="0"/>
                    <a:ext cx="5925185" cy="561340"/>
                  </a:xfrm>
                  <a:prstGeom prst="rect">
                    <a:avLst/>
                  </a:prstGeom>
                </pic:spPr>
              </pic:pic>
            </a:graphicData>
          </a:graphic>
        </wp:inline>
      </w:drawing>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pt-BR" w:eastAsia="x-none" w:bidi="x-non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pt-BR" w:eastAsia="zh-CN" w:bidi="hi-IN"/>
      </w:rPr>
    </w:rPrDefault>
    <w:pPrDefault>
      <w:pPr>
        <w:suppressAutoHyphens w:val="true"/>
      </w:pPr>
    </w:pPrDefault>
  </w:docDefaults>
  <w:style w:type="paragraph" w:styleId="Normal" w:default="1">
    <w:name w:val="Normal"/>
    <w:qFormat/>
    <w:pPr>
      <w:widowControl w:val="false"/>
      <w:suppressAutoHyphens w:val="true"/>
      <w:bidi w:val="0"/>
      <w:spacing w:before="0" w:after="360"/>
      <w:jc w:val="left"/>
    </w:pPr>
    <w:rPr>
      <w:rFonts w:ascii="Times New Roman" w:hAnsi="Times New Roman" w:eastAsia="Times New Roman" w:cs="Times New Roman"/>
      <w:color w:val="auto"/>
      <w:kern w:val="0"/>
      <w:sz w:val="24"/>
      <w:szCs w:val="24"/>
      <w:lang w:val="pt-BR" w:eastAsia="zh-CN" w:bidi="hi-IN"/>
    </w:rPr>
  </w:style>
  <w:style w:type="character" w:styleId="Caracteresdenotaderodap">
    <w:name w:val="Caracteres de nota de rodapé"/>
    <w:semiHidden/>
    <w:unhideWhenUsed/>
    <w:qFormat/>
    <w:rPr>
      <w:vertAlign w:val="superscript"/>
    </w:rPr>
  </w:style>
  <w:style w:type="character" w:styleId="Ncoradanotaderodap">
    <w:name w:val="Footnote Reference"/>
    <w:rPr>
      <w:vertAlign w:val="superscript"/>
    </w:rPr>
  </w:style>
  <w:style w:type="character" w:styleId="LinkdaInternet">
    <w:name w:val="Hyperlink"/>
    <w:rPr>
      <w:color w:val="000080"/>
      <w:u w:val="single"/>
    </w:rPr>
  </w:style>
  <w:style w:type="paragraph" w:styleId="Ttulo">
    <w:name w:val="Título"/>
    <w:basedOn w:val="Normal"/>
    <w:next w:val="Corpodotexto"/>
    <w:qFormat/>
    <w:pPr>
      <w:keepNext w:val="true"/>
      <w:spacing w:before="240" w:after="120"/>
    </w:pPr>
    <w:rPr>
      <w:rFonts w:ascii="Liberation Sans" w:hAnsi="Liberation Sans" w:eastAsia="Microsoft YaHei" w:cs="Arial"/>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Arial"/>
    </w:rPr>
  </w:style>
  <w:style w:type="paragraph" w:styleId="Legenda">
    <w:name w:val="Caption"/>
    <w:basedOn w:val="Normal"/>
    <w:qFormat/>
    <w:pPr>
      <w:suppressLineNumbers/>
      <w:spacing w:before="120" w:after="120"/>
    </w:pPr>
    <w:rPr>
      <w:i/>
      <w:iCs/>
      <w:sz w:val="24"/>
      <w:szCs w:val="24"/>
    </w:rPr>
  </w:style>
  <w:style w:type="paragraph" w:styleId="Ndice">
    <w:name w:val="Índice"/>
    <w:basedOn w:val="Normal"/>
    <w:qFormat/>
    <w:pPr>
      <w:suppressLineNumbers/>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abealhoerodap">
    <w:name w:val="Cabeçalho e rodapé"/>
    <w:basedOn w:val="Normal"/>
    <w:qFormat/>
    <w:pPr/>
    <w:rPr/>
  </w:style>
  <w:style w:type="paragraph" w:styleId="CabealhoeRodap1">
    <w:name w:val="Cabeçalho e Rodapé"/>
    <w:basedOn w:val="Normal"/>
    <w:qFormat/>
    <w:pPr/>
    <w:rPr/>
  </w:style>
  <w:style w:type="paragraph" w:styleId="Cabealho">
    <w:name w:val="Header"/>
    <w:basedOn w:val="Cabealhoerodap"/>
    <w:pPr/>
    <w:rPr/>
  </w:style>
  <w:style w:type="paragraph" w:styleId="Rodap">
    <w:name w:val="Footer"/>
    <w:basedOn w:val="Cabealhoerodap"/>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eis.org/municipais/rs/ijui/lei/lei-ordinaria/1985/2084/lei-ordinaria-n-2084-1985-antecipa-reajuste-de-vencimentos-dos-funcionarios-publicos-civis-do-municipio-de-ijui-pertencentes-ao-sistema-classificado-de-cargos-cargo-em-comissao-funcao-gratificada-tabela-hora-maquina-e-hora-veiculo-inativos-e-magisterio-municipal-e-da-outras" TargetMode="External"/><Relationship Id="rId3" Type="http://schemas.openxmlformats.org/officeDocument/2006/relationships/hyperlink" Target="https://leis.org/federais/br/brasil/lei/lei-ordinaria/1964/4320/lei-ordinaria-n-4320-1964-estatui-normas-gerais-de-direito-financeiro-para-elaboracao-e-controle-dos-orcamentos-e-balancos-da-uniao-dos-estados-dos-municipios-e-do-distrito-federal"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2.png"/>
</Relationships>
</file>

<file path=word/_rels/footer3.xml.rels><?xml version="1.0" encoding="UTF-8"?>
<Relationships xmlns="http://schemas.openxmlformats.org/package/2006/relationships"><Relationship Id="rId1"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7</TotalTime>
  <Application>LibreOffice/7.4.7.2$Linux_X86_64 LibreOffice_project/40$Build-2</Application>
  <AppVersion>15.0000</AppVersion>
  <Pages>11</Pages>
  <Words>6257</Words>
  <Characters>34852</Characters>
  <CharactersWithSpaces>40937</CharactersWithSpaces>
  <Paragraphs>228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2026-08-31T16:35:38Z</dcterms:created>
  <dc:creator/>
  <dc:description/>
  <dc:language>pt-BR</dc:language>
  <cp:lastModifiedBy/>
  <dcterms:modified xsi:type="dcterms:W3CDTF">2026-08-31T16:10:08Z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